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D6DE75">
      <w:pPr>
        <w:spacing w:line="245" w:lineRule="auto"/>
        <w:rPr>
          <w:rFonts w:ascii="Arial"/>
          <w:sz w:val="21"/>
        </w:rPr>
      </w:pPr>
    </w:p>
    <w:p w14:paraId="76AD1FD0">
      <w:pPr>
        <w:spacing w:line="245" w:lineRule="auto"/>
        <w:rPr>
          <w:rFonts w:ascii="Arial"/>
          <w:sz w:val="21"/>
        </w:rPr>
      </w:pPr>
    </w:p>
    <w:p w14:paraId="49F3A997">
      <w:pPr>
        <w:spacing w:before="143" w:line="225" w:lineRule="auto"/>
        <w:ind w:left="1545" w:right="1903" w:hanging="659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7"/>
          <w:sz w:val="44"/>
          <w:szCs w:val="44"/>
        </w:rPr>
        <w:t>关于《辽宁华电铁岭昌图一期450</w:t>
      </w:r>
      <w:r>
        <w:rPr>
          <w:rFonts w:ascii="宋体" w:hAnsi="宋体" w:eastAsia="宋体" w:cs="宋体"/>
          <w:b/>
          <w:bCs/>
          <w:sz w:val="44"/>
          <w:szCs w:val="44"/>
        </w:rPr>
        <w:t>MW</w:t>
      </w:r>
      <w:r>
        <w:rPr>
          <w:rFonts w:ascii="宋体" w:hAnsi="宋体" w:eastAsia="宋体" w:cs="宋体"/>
          <w:b/>
          <w:bCs/>
          <w:spacing w:val="7"/>
          <w:sz w:val="44"/>
          <w:szCs w:val="44"/>
        </w:rPr>
        <w:t>离网</w:t>
      </w:r>
      <w:r>
        <w:rPr>
          <w:rFonts w:ascii="宋体" w:hAnsi="宋体" w:eastAsia="宋体" w:cs="宋体"/>
          <w:spacing w:val="1"/>
          <w:sz w:val="44"/>
          <w:szCs w:val="44"/>
        </w:rPr>
        <w:t xml:space="preserve"> </w:t>
      </w:r>
      <w:r>
        <w:rPr>
          <w:rFonts w:ascii="宋体" w:hAnsi="宋体" w:eastAsia="宋体" w:cs="宋体"/>
          <w:b/>
          <w:bCs/>
          <w:spacing w:val="-6"/>
          <w:sz w:val="44"/>
          <w:szCs w:val="44"/>
        </w:rPr>
        <w:t>风电项目环境影响报告书》的批复</w:t>
      </w:r>
    </w:p>
    <w:p w14:paraId="69A7897B">
      <w:pPr>
        <w:spacing w:line="322" w:lineRule="auto"/>
        <w:rPr>
          <w:rFonts w:ascii="Arial"/>
          <w:sz w:val="21"/>
        </w:rPr>
      </w:pPr>
    </w:p>
    <w:p w14:paraId="20DC9A53">
      <w:pPr>
        <w:spacing w:line="323" w:lineRule="auto"/>
        <w:rPr>
          <w:rFonts w:ascii="Arial"/>
          <w:sz w:val="21"/>
        </w:rPr>
      </w:pPr>
    </w:p>
    <w:p w14:paraId="4EC764C9">
      <w:pPr>
        <w:pStyle w:val="2"/>
        <w:spacing w:before="101" w:line="222" w:lineRule="auto"/>
        <w:rPr>
          <w:sz w:val="31"/>
          <w:szCs w:val="31"/>
        </w:rPr>
      </w:pPr>
      <w:r>
        <w:rPr>
          <w:spacing w:val="3"/>
          <w:sz w:val="31"/>
          <w:szCs w:val="31"/>
        </w:rPr>
        <w:t>调兵山市华电清洁能源有限公司：</w:t>
      </w:r>
    </w:p>
    <w:p w14:paraId="046CCEAC">
      <w:pPr>
        <w:pStyle w:val="2"/>
        <w:spacing w:before="198" w:line="319" w:lineRule="auto"/>
        <w:ind w:right="1111" w:firstLine="619"/>
      </w:pPr>
      <w:r>
        <w:rPr>
          <w:spacing w:val="6"/>
        </w:rPr>
        <w:t>你单位报送的《辽宁华电铁岭昌图一期450</w:t>
      </w:r>
      <w:r>
        <w:rPr>
          <w:rFonts w:ascii="宋体" w:hAnsi="宋体" w:eastAsia="宋体" w:cs="宋体"/>
        </w:rPr>
        <w:t>MW</w:t>
      </w:r>
      <w:r>
        <w:rPr>
          <w:rFonts w:hint="eastAsia" w:ascii="宋体" w:hAnsi="宋体" w:eastAsia="宋体" w:cs="宋体"/>
          <w:lang w:val="en-US" w:eastAsia="zh-CN"/>
        </w:rPr>
        <w:t xml:space="preserve"> </w:t>
      </w:r>
      <w:bookmarkStart w:id="0" w:name="_GoBack"/>
      <w:bookmarkEnd w:id="0"/>
      <w:r>
        <w:rPr>
          <w:spacing w:val="6"/>
        </w:rPr>
        <w:t>离网环境影响报</w:t>
      </w:r>
      <w:r>
        <w:rPr>
          <w:spacing w:val="1"/>
        </w:rPr>
        <w:t xml:space="preserve"> </w:t>
      </w:r>
      <w:r>
        <w:rPr>
          <w:spacing w:val="8"/>
        </w:rPr>
        <w:t>告书》(以下简称《报告书》)收悉。经研究</w:t>
      </w:r>
      <w:r>
        <w:rPr>
          <w:spacing w:val="7"/>
        </w:rPr>
        <w:t>，现批复如下：</w:t>
      </w:r>
    </w:p>
    <w:p w14:paraId="553ACF4C">
      <w:pPr>
        <w:pStyle w:val="2"/>
        <w:spacing w:before="46" w:line="222" w:lineRule="auto"/>
        <w:ind w:left="619"/>
      </w:pPr>
      <w:r>
        <w:rPr>
          <w:spacing w:val="-13"/>
        </w:rPr>
        <w:t>一</w:t>
      </w:r>
      <w:r>
        <w:rPr>
          <w:spacing w:val="-80"/>
        </w:rPr>
        <w:t xml:space="preserve"> </w:t>
      </w:r>
      <w:r>
        <w:rPr>
          <w:spacing w:val="-13"/>
        </w:rPr>
        <w:t>、项目概况</w:t>
      </w:r>
    </w:p>
    <w:p w14:paraId="4AC86AFE">
      <w:pPr>
        <w:pStyle w:val="2"/>
        <w:spacing w:before="229" w:line="325" w:lineRule="auto"/>
        <w:ind w:right="1104" w:firstLine="619"/>
      </w:pPr>
      <w:r>
        <w:t>本项目位于辽宁省铁岭市昌图县两家子农场、头道镇、长发镇、 大四家子镇、大兴镇、后窑镇、金家镇、十八家子镇境内。总装</w:t>
      </w:r>
      <w:r>
        <w:rPr>
          <w:spacing w:val="-1"/>
        </w:rPr>
        <w:t>机容</w:t>
      </w:r>
      <w:r>
        <w:t xml:space="preserve"> </w:t>
      </w:r>
      <w:r>
        <w:rPr>
          <w:spacing w:val="22"/>
        </w:rPr>
        <w:t>量为450</w:t>
      </w:r>
      <w:r>
        <w:rPr>
          <w:rFonts w:ascii="宋体" w:hAnsi="宋体" w:eastAsia="宋体" w:cs="宋体"/>
        </w:rPr>
        <w:t>MW</w:t>
      </w:r>
      <w:r>
        <w:rPr>
          <w:rFonts w:ascii="宋体" w:hAnsi="宋体" w:eastAsia="宋体" w:cs="宋体"/>
          <w:spacing w:val="22"/>
        </w:rPr>
        <w:t xml:space="preserve">, </w:t>
      </w:r>
      <w:r>
        <w:rPr>
          <w:spacing w:val="22"/>
        </w:rPr>
        <w:t>选用单机容量为7150</w:t>
      </w:r>
      <w:r>
        <w:rPr>
          <w:rFonts w:ascii="宋体" w:hAnsi="宋体" w:eastAsia="宋体" w:cs="宋体"/>
        </w:rPr>
        <w:t>kW</w:t>
      </w:r>
      <w:r>
        <w:rPr>
          <w:rFonts w:ascii="宋体" w:hAnsi="宋体" w:eastAsia="宋体" w:cs="宋体"/>
          <w:spacing w:val="-65"/>
        </w:rPr>
        <w:t xml:space="preserve"> </w:t>
      </w:r>
      <w:r>
        <w:rPr>
          <w:spacing w:val="22"/>
        </w:rPr>
        <w:t>的风力发电机组63台(其中3</w:t>
      </w:r>
      <w:r>
        <w:t xml:space="preserve"> </w:t>
      </w:r>
      <w:r>
        <w:rPr>
          <w:spacing w:val="18"/>
        </w:rPr>
        <w:t>台机组降功率至7000</w:t>
      </w:r>
      <w:r>
        <w:rPr>
          <w:rFonts w:ascii="宋体" w:hAnsi="宋体" w:eastAsia="宋体" w:cs="宋体"/>
        </w:rPr>
        <w:t>kW</w:t>
      </w:r>
      <w:r>
        <w:rPr>
          <w:spacing w:val="18"/>
        </w:rPr>
        <w:t>运行),并配套建设63座箱式变电站。新建</w:t>
      </w:r>
      <w:r>
        <w:rPr>
          <w:spacing w:val="13"/>
        </w:rPr>
        <w:t xml:space="preserve"> </w:t>
      </w:r>
      <w:r>
        <w:rPr>
          <w:spacing w:val="6"/>
        </w:rPr>
        <w:t>1座220</w:t>
      </w:r>
      <w:r>
        <w:rPr>
          <w:rFonts w:ascii="宋体" w:hAnsi="宋体" w:eastAsia="宋体" w:cs="宋体"/>
        </w:rPr>
        <w:t>kV</w:t>
      </w:r>
      <w:r>
        <w:rPr>
          <w:rFonts w:ascii="宋体" w:hAnsi="宋体" w:eastAsia="宋体" w:cs="宋体"/>
          <w:spacing w:val="-90"/>
        </w:rPr>
        <w:t xml:space="preserve"> </w:t>
      </w:r>
      <w:r>
        <w:rPr>
          <w:spacing w:val="6"/>
        </w:rPr>
        <w:t>升压站，配置80</w:t>
      </w:r>
      <w:r>
        <w:rPr>
          <w:rFonts w:ascii="宋体" w:hAnsi="宋体" w:eastAsia="宋体" w:cs="宋体"/>
        </w:rPr>
        <w:t>MW</w:t>
      </w:r>
      <w:r>
        <w:rPr>
          <w:rFonts w:ascii="宋体" w:hAnsi="宋体" w:eastAsia="宋体" w:cs="宋体"/>
          <w:spacing w:val="6"/>
        </w:rPr>
        <w:t>/80</w:t>
      </w:r>
      <w:r>
        <w:rPr>
          <w:rFonts w:ascii="宋体" w:hAnsi="宋体" w:eastAsia="宋体" w:cs="宋体"/>
        </w:rPr>
        <w:t>MWh</w:t>
      </w:r>
      <w:r>
        <w:rPr>
          <w:rFonts w:ascii="宋体" w:hAnsi="宋体" w:eastAsia="宋体" w:cs="宋体"/>
          <w:spacing w:val="-87"/>
        </w:rPr>
        <w:t xml:space="preserve"> </w:t>
      </w:r>
      <w:r>
        <w:rPr>
          <w:spacing w:val="6"/>
        </w:rPr>
        <w:t>储能站。63台风力发电</w:t>
      </w:r>
      <w:r>
        <w:rPr>
          <w:spacing w:val="5"/>
        </w:rPr>
        <w:t>机组通过</w:t>
      </w:r>
      <w:r>
        <w:t xml:space="preserve"> </w:t>
      </w:r>
      <w:r>
        <w:rPr>
          <w:spacing w:val="19"/>
        </w:rPr>
        <w:t>16回35</w:t>
      </w:r>
      <w:r>
        <w:rPr>
          <w:rFonts w:ascii="宋体" w:hAnsi="宋体" w:eastAsia="宋体" w:cs="宋体"/>
        </w:rPr>
        <w:t>kV</w:t>
      </w:r>
      <w:r>
        <w:rPr>
          <w:rFonts w:ascii="宋体" w:hAnsi="宋体" w:eastAsia="宋体" w:cs="宋体"/>
          <w:spacing w:val="-65"/>
        </w:rPr>
        <w:t xml:space="preserve"> </w:t>
      </w:r>
      <w:r>
        <w:rPr>
          <w:spacing w:val="19"/>
        </w:rPr>
        <w:t>架空线路接入拟建220</w:t>
      </w:r>
      <w:r>
        <w:rPr>
          <w:rFonts w:ascii="宋体" w:hAnsi="宋体" w:eastAsia="宋体" w:cs="宋体"/>
        </w:rPr>
        <w:t>kV</w:t>
      </w:r>
      <w:r>
        <w:rPr>
          <w:spacing w:val="19"/>
        </w:rPr>
        <w:t>升压站，升压站以1回220</w:t>
      </w:r>
      <w:r>
        <w:rPr>
          <w:rFonts w:ascii="宋体" w:hAnsi="宋体" w:eastAsia="宋体" w:cs="宋体"/>
        </w:rPr>
        <w:t>kV</w:t>
      </w:r>
      <w:r>
        <w:rPr>
          <w:rFonts w:ascii="宋体" w:hAnsi="宋体" w:eastAsia="宋体" w:cs="宋体"/>
          <w:spacing w:val="-90"/>
        </w:rPr>
        <w:t xml:space="preserve"> </w:t>
      </w:r>
      <w:r>
        <w:rPr>
          <w:spacing w:val="19"/>
        </w:rPr>
        <w:t>输</w:t>
      </w:r>
      <w:r>
        <w:t xml:space="preserve"> </w:t>
      </w:r>
      <w:r>
        <w:rPr>
          <w:spacing w:val="13"/>
        </w:rPr>
        <w:t>电线路接至220</w:t>
      </w:r>
      <w:r>
        <w:rPr>
          <w:rFonts w:ascii="Times New Roman" w:hAnsi="Times New Roman" w:eastAsia="Times New Roman" w:cs="Times New Roman"/>
        </w:rPr>
        <w:t>kV</w:t>
      </w:r>
      <w:r>
        <w:rPr>
          <w:spacing w:val="13"/>
        </w:rPr>
        <w:t>制氢变电站(220</w:t>
      </w:r>
      <w:r>
        <w:rPr>
          <w:rFonts w:ascii="Times New Roman" w:hAnsi="Times New Roman" w:eastAsia="Times New Roman" w:cs="Times New Roman"/>
        </w:rPr>
        <w:t>kV</w:t>
      </w:r>
      <w:r>
        <w:rPr>
          <w:spacing w:val="13"/>
        </w:rPr>
        <w:t>送出线路及220</w:t>
      </w:r>
      <w:r>
        <w:rPr>
          <w:rFonts w:ascii="Times New Roman" w:hAnsi="Times New Roman" w:eastAsia="Times New Roman" w:cs="Times New Roman"/>
        </w:rPr>
        <w:t>kV</w:t>
      </w:r>
      <w:r>
        <w:rPr>
          <w:spacing w:val="13"/>
        </w:rPr>
        <w:t>制氢变电站</w:t>
      </w:r>
      <w:r>
        <w:rPr>
          <w:spacing w:val="4"/>
        </w:rPr>
        <w:t xml:space="preserve"> </w:t>
      </w:r>
      <w:r>
        <w:t>不在本次评价范围内),直接为储能和制氢提供电源。总投资为20</w:t>
      </w:r>
      <w:r>
        <w:rPr>
          <w:spacing w:val="-1"/>
        </w:rPr>
        <w:t>3000</w:t>
      </w:r>
      <w:r>
        <w:t xml:space="preserve"> </w:t>
      </w:r>
      <w:r>
        <w:rPr>
          <w:spacing w:val="9"/>
        </w:rPr>
        <w:t>万元，其中环保投资1178万元，建设工期为19个月。</w:t>
      </w:r>
    </w:p>
    <w:p w14:paraId="393D3D38">
      <w:pPr>
        <w:pStyle w:val="2"/>
        <w:spacing w:before="100" w:line="331" w:lineRule="auto"/>
        <w:ind w:right="1106" w:firstLine="619"/>
      </w:pPr>
      <w:r>
        <w:rPr>
          <w:spacing w:val="1"/>
        </w:rPr>
        <w:t>在严格落实《报告书》提出的各项生态保护和污染</w:t>
      </w:r>
      <w:r>
        <w:t>防治措施前提 下，我局同意你单位按照《报告书》中所列建设项目的性质、规</w:t>
      </w:r>
      <w:r>
        <w:rPr>
          <w:spacing w:val="-1"/>
        </w:rPr>
        <w:t>模、</w:t>
      </w:r>
      <w:r>
        <w:t xml:space="preserve"> </w:t>
      </w:r>
      <w:r>
        <w:rPr>
          <w:spacing w:val="-7"/>
        </w:rPr>
        <w:t>工艺、地点进行建设。</w:t>
      </w:r>
    </w:p>
    <w:p w14:paraId="4FF51EEB">
      <w:pPr>
        <w:spacing w:line="331" w:lineRule="auto"/>
        <w:sectPr>
          <w:footerReference r:id="rId5" w:type="default"/>
          <w:pgSz w:w="11900" w:h="16840"/>
          <w:pgMar w:top="1282" w:right="229" w:bottom="1266" w:left="959" w:header="0" w:footer="1139" w:gutter="0"/>
          <w:cols w:space="720" w:num="1"/>
        </w:sectPr>
      </w:pPr>
    </w:p>
    <w:p w14:paraId="274F85E2">
      <w:pPr>
        <w:pStyle w:val="2"/>
        <w:spacing w:before="66" w:line="219" w:lineRule="auto"/>
        <w:ind w:left="619"/>
      </w:pPr>
      <w:r>
        <w:rPr>
          <w:spacing w:val="-5"/>
        </w:rPr>
        <w:t>二、项目在设计、建设和运营管理中，重点做好以下工作：</w:t>
      </w:r>
    </w:p>
    <w:p w14:paraId="7AD57268">
      <w:pPr>
        <w:pStyle w:val="2"/>
        <w:spacing w:before="180" w:line="222" w:lineRule="auto"/>
        <w:ind w:left="814"/>
        <w:outlineLvl w:val="0"/>
      </w:pPr>
      <w:r>
        <w:rPr>
          <w:b/>
          <w:bCs/>
          <w:spacing w:val="4"/>
        </w:rPr>
        <w:t>(一)落实设计过程中的管理要求</w:t>
      </w:r>
    </w:p>
    <w:p w14:paraId="75DA4B32">
      <w:pPr>
        <w:pStyle w:val="2"/>
        <w:spacing w:before="208" w:line="313" w:lineRule="auto"/>
        <w:ind w:right="1124" w:firstLine="619"/>
        <w:jc w:val="both"/>
      </w:pPr>
      <w:r>
        <w:rPr>
          <w:spacing w:val="-1"/>
        </w:rPr>
        <w:t>本项目的初步设计，应当按照环境保护设计规范的要求，编制环</w:t>
      </w:r>
      <w:r>
        <w:rPr>
          <w:spacing w:val="4"/>
        </w:rPr>
        <w:t xml:space="preserve"> </w:t>
      </w:r>
      <w:r>
        <w:rPr>
          <w:spacing w:val="-1"/>
        </w:rPr>
        <w:t>境保护篇章，落实防治环境污染和生态破坏的措施以及环境保护设施</w:t>
      </w:r>
      <w:r>
        <w:rPr>
          <w:spacing w:val="4"/>
        </w:rPr>
        <w:t xml:space="preserve"> </w:t>
      </w:r>
      <w:r>
        <w:rPr>
          <w:spacing w:val="-11"/>
        </w:rPr>
        <w:t>投资概算。</w:t>
      </w:r>
    </w:p>
    <w:p w14:paraId="24C69B32">
      <w:pPr>
        <w:pStyle w:val="2"/>
        <w:spacing w:before="75" w:line="221" w:lineRule="auto"/>
        <w:ind w:left="814"/>
        <w:outlineLvl w:val="0"/>
      </w:pPr>
      <w:r>
        <w:rPr>
          <w:b/>
          <w:bCs/>
          <w:spacing w:val="4"/>
        </w:rPr>
        <w:t>(二)落实施工期环境保护措施</w:t>
      </w:r>
    </w:p>
    <w:p w14:paraId="103DBA3E">
      <w:pPr>
        <w:pStyle w:val="2"/>
        <w:spacing w:before="199" w:line="312" w:lineRule="auto"/>
        <w:ind w:right="1023" w:firstLine="619"/>
        <w:jc w:val="both"/>
      </w:pPr>
      <w:r>
        <w:rPr>
          <w:spacing w:val="-1"/>
        </w:rPr>
        <w:t>施工期冲洗废水经沉淀处理后回用，生活污水利用附近卫生设施</w:t>
      </w:r>
      <w:r>
        <w:rPr>
          <w:spacing w:val="6"/>
        </w:rPr>
        <w:t xml:space="preserve"> </w:t>
      </w:r>
      <w:r>
        <w:rPr>
          <w:spacing w:val="-2"/>
        </w:rPr>
        <w:t>或设置临时防渗厕所，定期依法依规处置；工地周边围挡、物料堆放</w:t>
      </w:r>
      <w:r>
        <w:rPr>
          <w:spacing w:val="11"/>
        </w:rPr>
        <w:t xml:space="preserve"> </w:t>
      </w:r>
      <w:r>
        <w:rPr>
          <w:spacing w:val="-8"/>
        </w:rPr>
        <w:t>覆盖、工地湿法作业、路面硬化、出入车辆清洗、渣土车辆密闭运输；</w:t>
      </w:r>
      <w:r>
        <w:rPr>
          <w:spacing w:val="3"/>
        </w:rPr>
        <w:t xml:space="preserve"> </w:t>
      </w:r>
      <w:r>
        <w:rPr>
          <w:spacing w:val="-1"/>
        </w:rPr>
        <w:t>合理布置施工设备，选用低噪声设备，施工噪声应符合《建筑施</w:t>
      </w:r>
      <w:r>
        <w:rPr>
          <w:spacing w:val="-2"/>
        </w:rPr>
        <w:t>工场</w:t>
      </w:r>
      <w:r>
        <w:t xml:space="preserve"> </w:t>
      </w:r>
      <w:r>
        <w:rPr>
          <w:spacing w:val="-5"/>
        </w:rPr>
        <w:t>界环境噪声排放标准》</w:t>
      </w:r>
      <w:r>
        <w:rPr>
          <w:rFonts w:ascii="宋体" w:hAnsi="宋体" w:eastAsia="宋体" w:cs="宋体"/>
          <w:spacing w:val="-5"/>
        </w:rPr>
        <w:t>(GB12523-2011)</w:t>
      </w:r>
      <w:r>
        <w:rPr>
          <w:rFonts w:ascii="宋体" w:hAnsi="宋体" w:eastAsia="宋体" w:cs="宋体"/>
          <w:spacing w:val="100"/>
        </w:rPr>
        <w:t xml:space="preserve"> </w:t>
      </w:r>
      <w:r>
        <w:rPr>
          <w:spacing w:val="-5"/>
        </w:rPr>
        <w:t>要求。施工时尽量减少占地，</w:t>
      </w:r>
      <w:r>
        <w:t xml:space="preserve"> </w:t>
      </w:r>
      <w:r>
        <w:rPr>
          <w:spacing w:val="-2"/>
        </w:rPr>
        <w:t>施工前剥离保存表土，施工时减少对植被、林地的破坏，施工结束后</w:t>
      </w:r>
      <w:r>
        <w:rPr>
          <w:spacing w:val="16"/>
        </w:rPr>
        <w:t xml:space="preserve"> </w:t>
      </w:r>
      <w:r>
        <w:rPr>
          <w:spacing w:val="-7"/>
        </w:rPr>
        <w:t>及时进行生态恢复和生态补偿。</w:t>
      </w:r>
    </w:p>
    <w:p w14:paraId="23D82101">
      <w:pPr>
        <w:pStyle w:val="2"/>
        <w:spacing w:before="95" w:line="222" w:lineRule="auto"/>
        <w:ind w:left="814"/>
        <w:outlineLvl w:val="0"/>
      </w:pPr>
      <w:r>
        <w:rPr>
          <w:b/>
          <w:bCs/>
          <w:spacing w:val="9"/>
        </w:rPr>
        <w:t>(三)落实防沙固沙措施</w:t>
      </w:r>
    </w:p>
    <w:p w14:paraId="3C9C81BF">
      <w:pPr>
        <w:pStyle w:val="2"/>
        <w:spacing w:before="214" w:line="302" w:lineRule="auto"/>
        <w:ind w:right="1010" w:firstLine="619"/>
        <w:jc w:val="both"/>
      </w:pPr>
      <w:r>
        <w:rPr>
          <w:spacing w:val="-1"/>
        </w:rPr>
        <w:t>主要以工程措施为主，辅以必要的临时措施，并在施工</w:t>
      </w:r>
      <w:r>
        <w:rPr>
          <w:spacing w:val="-2"/>
        </w:rPr>
        <w:t>结束后对</w:t>
      </w:r>
      <w:r>
        <w:t xml:space="preserve">  </w:t>
      </w:r>
      <w:r>
        <w:rPr>
          <w:spacing w:val="-8"/>
        </w:rPr>
        <w:t>可绿化位置进行绿化。各防治区布设表土剥离、表土回覆、土地整治、</w:t>
      </w:r>
      <w:r>
        <w:rPr>
          <w:spacing w:val="16"/>
        </w:rPr>
        <w:t xml:space="preserve"> </w:t>
      </w:r>
      <w:r>
        <w:rPr>
          <w:spacing w:val="-7"/>
        </w:rPr>
        <w:t>绿化、临时堆土防护等措施。</w:t>
      </w:r>
    </w:p>
    <w:p w14:paraId="6408EE38">
      <w:pPr>
        <w:pStyle w:val="2"/>
        <w:spacing w:before="68" w:line="221" w:lineRule="auto"/>
        <w:ind w:left="814"/>
        <w:outlineLvl w:val="0"/>
      </w:pPr>
      <w:r>
        <w:rPr>
          <w:b/>
          <w:bCs/>
          <w:spacing w:val="5"/>
        </w:rPr>
        <w:t>(四)落实运营期生态环境保护措施</w:t>
      </w:r>
    </w:p>
    <w:p w14:paraId="677EEB00">
      <w:pPr>
        <w:pStyle w:val="2"/>
        <w:spacing w:before="181" w:line="343" w:lineRule="auto"/>
        <w:ind w:right="1029" w:firstLine="619"/>
        <w:jc w:val="both"/>
      </w:pPr>
      <w:r>
        <w:rPr>
          <w:spacing w:val="-1"/>
        </w:rPr>
        <w:t>1.大气环境保护措施。升压站食堂设油烟净化器</w:t>
      </w:r>
      <w:r>
        <w:rPr>
          <w:spacing w:val="-2"/>
        </w:rPr>
        <w:t>，餐饮油烟处理</w:t>
      </w:r>
      <w:r>
        <w:t xml:space="preserve"> </w:t>
      </w:r>
      <w:r>
        <w:rPr>
          <w:spacing w:val="-2"/>
        </w:rPr>
        <w:t>满足《饮食业油烟排放标准》</w:t>
      </w:r>
      <w:r>
        <w:rPr>
          <w:spacing w:val="-67"/>
        </w:rPr>
        <w:t xml:space="preserve"> </w:t>
      </w:r>
      <w:r>
        <w:rPr>
          <w:rFonts w:ascii="宋体" w:hAnsi="宋体" w:eastAsia="宋体" w:cs="宋体"/>
          <w:spacing w:val="-2"/>
        </w:rPr>
        <w:t>(GB18483-2001)</w:t>
      </w:r>
      <w:r>
        <w:rPr>
          <w:rFonts w:ascii="宋体" w:hAnsi="宋体" w:eastAsia="宋体" w:cs="宋体"/>
          <w:spacing w:val="99"/>
        </w:rPr>
        <w:t xml:space="preserve"> </w:t>
      </w:r>
      <w:r>
        <w:rPr>
          <w:spacing w:val="-2"/>
        </w:rPr>
        <w:t>的排放要求。危废库</w:t>
      </w:r>
      <w:r>
        <w:t xml:space="preserve"> </w:t>
      </w:r>
      <w:r>
        <w:rPr>
          <w:spacing w:val="-6"/>
        </w:rPr>
        <w:t>设置气体收集装置和气体净化设施，非甲烷总烃经15</w:t>
      </w:r>
      <w:r>
        <w:rPr>
          <w:rFonts w:ascii="宋体" w:hAnsi="宋体" w:eastAsia="宋体" w:cs="宋体"/>
          <w:spacing w:val="-6"/>
        </w:rPr>
        <w:t>m</w:t>
      </w:r>
      <w:r>
        <w:rPr>
          <w:rFonts w:ascii="宋体" w:hAnsi="宋体" w:eastAsia="宋体" w:cs="宋体"/>
          <w:spacing w:val="-59"/>
        </w:rPr>
        <w:t xml:space="preserve"> </w:t>
      </w:r>
      <w:r>
        <w:rPr>
          <w:spacing w:val="-6"/>
        </w:rPr>
        <w:t>高排气筒排放，</w:t>
      </w:r>
      <w:r>
        <w:t xml:space="preserve"> </w:t>
      </w:r>
      <w:r>
        <w:rPr>
          <w:spacing w:val="-1"/>
        </w:rPr>
        <w:t>满足《大气污染物综合排放标准》</w:t>
      </w:r>
      <w:r>
        <w:rPr>
          <w:rFonts w:ascii="Arial" w:hAnsi="Arial" w:eastAsia="Arial" w:cs="Arial"/>
          <w:spacing w:val="-1"/>
        </w:rPr>
        <w:t xml:space="preserve">(GB16297-1996) </w:t>
      </w:r>
      <w:r>
        <w:rPr>
          <w:spacing w:val="-1"/>
        </w:rPr>
        <w:t>标准要求。</w:t>
      </w:r>
    </w:p>
    <w:p w14:paraId="3BA22CE9">
      <w:pPr>
        <w:pStyle w:val="2"/>
        <w:spacing w:before="142" w:line="310" w:lineRule="auto"/>
        <w:ind w:right="1135" w:firstLine="619"/>
      </w:pPr>
      <w:r>
        <w:rPr>
          <w:spacing w:val="-1"/>
        </w:rPr>
        <w:t>2.落实运营期水环境保护措施。废水主要为生活污水，生活污水</w:t>
      </w:r>
      <w:r>
        <w:rPr>
          <w:spacing w:val="12"/>
        </w:rPr>
        <w:t xml:space="preserve"> </w:t>
      </w:r>
      <w:r>
        <w:rPr>
          <w:spacing w:val="-3"/>
        </w:rPr>
        <w:t>经升压站防渗化粪池处理后，定期委托清掏，</w:t>
      </w:r>
      <w:r>
        <w:rPr>
          <w:spacing w:val="-4"/>
        </w:rPr>
        <w:t>依法依规处置。</w:t>
      </w:r>
    </w:p>
    <w:p w14:paraId="7B528624">
      <w:pPr>
        <w:spacing w:line="310" w:lineRule="auto"/>
        <w:sectPr>
          <w:footerReference r:id="rId6" w:type="default"/>
          <w:pgSz w:w="11900" w:h="16840"/>
          <w:pgMar w:top="1109" w:right="230" w:bottom="1292" w:left="969" w:header="0" w:footer="1157" w:gutter="0"/>
          <w:cols w:space="720" w:num="1"/>
        </w:sectPr>
      </w:pPr>
    </w:p>
    <w:p w14:paraId="63010BF4">
      <w:pPr>
        <w:pStyle w:val="2"/>
        <w:spacing w:before="61" w:line="319" w:lineRule="auto"/>
        <w:ind w:right="1075" w:firstLine="669"/>
        <w:jc w:val="both"/>
        <w:rPr>
          <w:sz w:val="27"/>
          <w:szCs w:val="27"/>
        </w:rPr>
      </w:pPr>
      <w:r>
        <w:rPr>
          <w:spacing w:val="-1"/>
        </w:rPr>
        <w:t>3.落实运营期固体废物环境保护措施。运营过程中产生的废变压</w:t>
      </w:r>
      <w:r>
        <w:rPr>
          <w:spacing w:val="10"/>
        </w:rPr>
        <w:t xml:space="preserve"> </w:t>
      </w:r>
      <w:r>
        <w:rPr>
          <w:spacing w:val="-1"/>
        </w:rPr>
        <w:t>器油、废液压油、废铅酸蓄电池、废活性炭、废油抹布收集后暂存升</w:t>
      </w:r>
      <w:r>
        <w:rPr>
          <w:spacing w:val="8"/>
        </w:rPr>
        <w:t xml:space="preserve"> </w:t>
      </w:r>
      <w:r>
        <w:rPr>
          <w:spacing w:val="4"/>
        </w:rPr>
        <w:t>压站危废贮存库(30.34</w:t>
      </w:r>
      <w:r>
        <w:rPr>
          <w:rFonts w:ascii="宋体" w:hAnsi="宋体" w:eastAsia="宋体" w:cs="宋体"/>
          <w:spacing w:val="4"/>
        </w:rPr>
        <w:t>m²)</w:t>
      </w:r>
      <w:r>
        <w:rPr>
          <w:spacing w:val="4"/>
        </w:rPr>
        <w:t>内，定期交由有资质单</w:t>
      </w:r>
      <w:r>
        <w:rPr>
          <w:spacing w:val="3"/>
        </w:rPr>
        <w:t>位处置。变压器事</w:t>
      </w:r>
      <w:r>
        <w:t xml:space="preserve"> </w:t>
      </w:r>
      <w:r>
        <w:rPr>
          <w:spacing w:val="4"/>
        </w:rPr>
        <w:t>故废油经防渗事故池(150</w:t>
      </w:r>
      <w:r>
        <w:rPr>
          <w:rFonts w:ascii="宋体" w:hAnsi="宋体" w:eastAsia="宋体" w:cs="宋体"/>
          <w:spacing w:val="4"/>
        </w:rPr>
        <w:t>m³)</w:t>
      </w:r>
      <w:r>
        <w:rPr>
          <w:spacing w:val="4"/>
        </w:rPr>
        <w:t>收集，及时</w:t>
      </w:r>
      <w:r>
        <w:rPr>
          <w:spacing w:val="3"/>
        </w:rPr>
        <w:t>交由有资质单位处置。危废</w:t>
      </w:r>
      <w:r>
        <w:t xml:space="preserve"> </w:t>
      </w:r>
      <w:r>
        <w:rPr>
          <w:spacing w:val="-4"/>
        </w:rPr>
        <w:t xml:space="preserve">贮存库应满足《危险废物贮存污染控制标准》 </w:t>
      </w:r>
      <w:r>
        <w:rPr>
          <w:rFonts w:ascii="Arial" w:hAnsi="Arial" w:eastAsia="Arial" w:cs="Arial"/>
          <w:spacing w:val="-4"/>
        </w:rPr>
        <w:t xml:space="preserve">(GB18597-2023) </w:t>
      </w:r>
      <w:r>
        <w:rPr>
          <w:spacing w:val="-4"/>
        </w:rPr>
        <w:t>的</w:t>
      </w:r>
      <w:r>
        <w:rPr>
          <w:spacing w:val="-37"/>
        </w:rPr>
        <w:t xml:space="preserve"> </w:t>
      </w:r>
      <w:r>
        <w:rPr>
          <w:spacing w:val="-4"/>
        </w:rPr>
        <w:t>相</w:t>
      </w:r>
      <w:r>
        <w:t xml:space="preserve"> </w:t>
      </w:r>
      <w:r>
        <w:rPr>
          <w:spacing w:val="28"/>
          <w:sz w:val="27"/>
          <w:szCs w:val="27"/>
        </w:rPr>
        <w:t>关要求。</w:t>
      </w:r>
    </w:p>
    <w:p w14:paraId="5B577772">
      <w:pPr>
        <w:pStyle w:val="2"/>
        <w:spacing w:before="118" w:line="313" w:lineRule="auto"/>
        <w:ind w:right="1105" w:firstLine="669"/>
      </w:pPr>
      <w:r>
        <w:rPr>
          <w:spacing w:val="-1"/>
        </w:rPr>
        <w:t>4.落实运营期噪声环境保护措施。风力发电机组选</w:t>
      </w:r>
      <w:r>
        <w:rPr>
          <w:spacing w:val="-2"/>
        </w:rPr>
        <w:t>用正规厂家生</w:t>
      </w:r>
      <w:r>
        <w:t xml:space="preserve"> </w:t>
      </w:r>
      <w:r>
        <w:rPr>
          <w:spacing w:val="-1"/>
        </w:rPr>
        <w:t>产的低噪声设备，经常对风机进行维护和检修，使其处于良好的运行</w:t>
      </w:r>
      <w:r>
        <w:rPr>
          <w:spacing w:val="5"/>
        </w:rPr>
        <w:t xml:space="preserve"> </w:t>
      </w:r>
      <w:r>
        <w:rPr>
          <w:spacing w:val="-1"/>
        </w:rPr>
        <w:t>状态，避免机器运转不正常时噪声值增高，声环境质量满足《声环境</w:t>
      </w:r>
      <w:r>
        <w:rPr>
          <w:spacing w:val="7"/>
        </w:rPr>
        <w:t xml:space="preserve"> </w:t>
      </w:r>
      <w:r>
        <w:rPr>
          <w:spacing w:val="-3"/>
        </w:rPr>
        <w:t>质量标准》</w:t>
      </w:r>
      <w:r>
        <w:rPr>
          <w:spacing w:val="-32"/>
        </w:rPr>
        <w:t xml:space="preserve"> </w:t>
      </w:r>
      <w:r>
        <w:rPr>
          <w:rFonts w:ascii="宋体" w:hAnsi="宋体" w:eastAsia="宋体" w:cs="宋体"/>
          <w:spacing w:val="-3"/>
        </w:rPr>
        <w:t xml:space="preserve">(GB3096-2008)1  </w:t>
      </w:r>
      <w:r>
        <w:rPr>
          <w:spacing w:val="-3"/>
        </w:rPr>
        <w:t>类标准要求。升压站优选低噪声设备，</w:t>
      </w:r>
      <w:r>
        <w:t xml:space="preserve"> </w:t>
      </w:r>
      <w:r>
        <w:rPr>
          <w:spacing w:val="-1"/>
        </w:rPr>
        <w:t>厂界噪声满足《工业企业厂界环境噪声排放标准》</w:t>
      </w:r>
      <w:r>
        <w:rPr>
          <w:spacing w:val="-30"/>
        </w:rPr>
        <w:t xml:space="preserve"> </w:t>
      </w:r>
      <w:r>
        <w:rPr>
          <w:rFonts w:ascii="宋体" w:hAnsi="宋体" w:eastAsia="宋体" w:cs="宋体"/>
          <w:spacing w:val="-1"/>
        </w:rPr>
        <w:t>(GB12348-200</w:t>
      </w:r>
      <w:r>
        <w:rPr>
          <w:rFonts w:ascii="宋体" w:hAnsi="宋体" w:eastAsia="宋体" w:cs="宋体"/>
          <w:spacing w:val="-2"/>
        </w:rPr>
        <w:t>8)1</w:t>
      </w:r>
      <w:r>
        <w:rPr>
          <w:rFonts w:ascii="宋体" w:hAnsi="宋体" w:eastAsia="宋体" w:cs="宋体"/>
        </w:rPr>
        <w:t xml:space="preserve"> </w:t>
      </w:r>
      <w:r>
        <w:rPr>
          <w:spacing w:val="-2"/>
        </w:rPr>
        <w:t>类标准要求。风机设置600</w:t>
      </w:r>
      <w:r>
        <w:rPr>
          <w:rFonts w:ascii="宋体" w:hAnsi="宋体" w:eastAsia="宋体" w:cs="宋体"/>
          <w:spacing w:val="-2"/>
        </w:rPr>
        <w:t>m</w:t>
      </w:r>
      <w:r>
        <w:rPr>
          <w:rFonts w:ascii="宋体" w:hAnsi="宋体" w:eastAsia="宋体" w:cs="宋体"/>
          <w:spacing w:val="-76"/>
        </w:rPr>
        <w:t xml:space="preserve"> </w:t>
      </w:r>
      <w:r>
        <w:rPr>
          <w:spacing w:val="-2"/>
        </w:rPr>
        <w:t>噪声防护距离，应与当地政</w:t>
      </w:r>
      <w:r>
        <w:rPr>
          <w:spacing w:val="-3"/>
        </w:rPr>
        <w:t>府及规划部门</w:t>
      </w:r>
      <w:r>
        <w:t xml:space="preserve"> </w:t>
      </w:r>
      <w:r>
        <w:rPr>
          <w:spacing w:val="-1"/>
        </w:rPr>
        <w:t>协调沟通，原则上防护距离内不得新建居民区、学校、医院、行政办</w:t>
      </w:r>
      <w:r>
        <w:rPr>
          <w:spacing w:val="6"/>
        </w:rPr>
        <w:t xml:space="preserve"> </w:t>
      </w:r>
      <w:r>
        <w:rPr>
          <w:spacing w:val="-5"/>
        </w:rPr>
        <w:t>公和商业场所等环境敏感建筑物。</w:t>
      </w:r>
    </w:p>
    <w:p w14:paraId="43D000C1">
      <w:pPr>
        <w:pStyle w:val="2"/>
        <w:spacing w:before="121" w:line="332" w:lineRule="auto"/>
        <w:ind w:right="1174" w:firstLine="669"/>
      </w:pPr>
      <w:r>
        <w:rPr>
          <w:spacing w:val="-3"/>
        </w:rPr>
        <w:t>5.落实光影环境保护措施。在居民受影响的时段采取停机措施，</w:t>
      </w:r>
      <w:r>
        <w:rPr>
          <w:spacing w:val="2"/>
        </w:rPr>
        <w:t xml:space="preserve"> </w:t>
      </w:r>
      <w:r>
        <w:rPr>
          <w:spacing w:val="-5"/>
        </w:rPr>
        <w:t>确保不会对各乡镇居民造成光影影响。</w:t>
      </w:r>
    </w:p>
    <w:p w14:paraId="48BD1542">
      <w:pPr>
        <w:pStyle w:val="2"/>
        <w:spacing w:before="134" w:line="325" w:lineRule="auto"/>
        <w:ind w:right="1125" w:firstLine="669"/>
      </w:pPr>
      <w:r>
        <w:rPr>
          <w:spacing w:val="-1"/>
        </w:rPr>
        <w:t>6.强化环境风险防范和应急措施。按照相关规</w:t>
      </w:r>
      <w:r>
        <w:rPr>
          <w:spacing w:val="-2"/>
        </w:rPr>
        <w:t>定修订和备案突发</w:t>
      </w:r>
      <w:r>
        <w:t xml:space="preserve"> </w:t>
      </w:r>
      <w:r>
        <w:rPr>
          <w:spacing w:val="-1"/>
        </w:rPr>
        <w:t>环境事件应急预案，并与当地政府及相关部门应急预案做好衔接，应</w:t>
      </w:r>
      <w:r>
        <w:rPr>
          <w:spacing w:val="7"/>
        </w:rPr>
        <w:t xml:space="preserve"> </w:t>
      </w:r>
      <w:r>
        <w:rPr>
          <w:spacing w:val="-1"/>
        </w:rPr>
        <w:t>做好应急物资储备，定期进行环境应急培训和演练，有效防范和应对</w:t>
      </w:r>
      <w:r>
        <w:rPr>
          <w:spacing w:val="7"/>
        </w:rPr>
        <w:t xml:space="preserve"> </w:t>
      </w:r>
      <w:r>
        <w:rPr>
          <w:spacing w:val="-1"/>
        </w:rPr>
        <w:t>突发环境事件。严格按照《中华人民共和国安全生产法》《建设</w:t>
      </w:r>
      <w:r>
        <w:rPr>
          <w:spacing w:val="-2"/>
        </w:rPr>
        <w:t>工程</w:t>
      </w:r>
      <w:r>
        <w:t xml:space="preserve"> </w:t>
      </w:r>
      <w:r>
        <w:rPr>
          <w:spacing w:val="-1"/>
        </w:rPr>
        <w:t>安全生产管理条例》《建设项目安全设施“三同</w:t>
      </w:r>
      <w:r>
        <w:rPr>
          <w:spacing w:val="-2"/>
        </w:rPr>
        <w:t>时”监督管理办法》</w:t>
      </w:r>
      <w:r>
        <w:t xml:space="preserve"> </w:t>
      </w:r>
      <w:r>
        <w:rPr>
          <w:spacing w:val="-1"/>
        </w:rPr>
        <w:t>等安全生产相关法律法规和部门规章要求，健全企业内部污</w:t>
      </w:r>
      <w:r>
        <w:rPr>
          <w:spacing w:val="-2"/>
        </w:rPr>
        <w:t>染防治设</w:t>
      </w:r>
      <w:r>
        <w:t xml:space="preserve"> </w:t>
      </w:r>
      <w:r>
        <w:rPr>
          <w:spacing w:val="-1"/>
        </w:rPr>
        <w:t>施稳定运行和管理责任制度，在环境保护设施设计、施工、验收、使</w:t>
      </w:r>
      <w:r>
        <w:rPr>
          <w:spacing w:val="8"/>
        </w:rPr>
        <w:t xml:space="preserve"> </w:t>
      </w:r>
      <w:r>
        <w:rPr>
          <w:spacing w:val="-1"/>
        </w:rPr>
        <w:t>用和拆除等过程中，认真落实安全生产主体责任，做好安全风险辨识</w:t>
      </w:r>
      <w:r>
        <w:rPr>
          <w:spacing w:val="7"/>
        </w:rPr>
        <w:t xml:space="preserve"> </w:t>
      </w:r>
      <w:r>
        <w:rPr>
          <w:spacing w:val="-3"/>
        </w:rPr>
        <w:t>评估和隐患排查治理工作，并及时向相关部门报告有关情况。</w:t>
      </w:r>
    </w:p>
    <w:p w14:paraId="28FCC84A">
      <w:pPr>
        <w:spacing w:line="325" w:lineRule="auto"/>
        <w:sectPr>
          <w:footerReference r:id="rId7" w:type="default"/>
          <w:pgSz w:w="11900" w:h="16840"/>
          <w:pgMar w:top="1122" w:right="229" w:bottom="1274" w:left="949" w:header="0" w:footer="1139" w:gutter="0"/>
          <w:cols w:space="720" w:num="1"/>
        </w:sectPr>
      </w:pPr>
    </w:p>
    <w:p w14:paraId="71DB8BBB">
      <w:pPr>
        <w:pStyle w:val="2"/>
        <w:spacing w:before="63" w:line="330" w:lineRule="auto"/>
        <w:ind w:right="1017" w:firstLine="630"/>
        <w:jc w:val="both"/>
        <w:rPr>
          <w:sz w:val="28"/>
          <w:szCs w:val="28"/>
        </w:rPr>
      </w:pPr>
      <w:r>
        <w:rPr>
          <w:spacing w:val="-4"/>
        </w:rPr>
        <w:t>三</w:t>
      </w:r>
      <w:r>
        <w:rPr>
          <w:spacing w:val="-59"/>
        </w:rPr>
        <w:t xml:space="preserve"> </w:t>
      </w:r>
      <w:r>
        <w:rPr>
          <w:spacing w:val="-4"/>
        </w:rPr>
        <w:t>、项目建设必须严格执行配套的环境保护设施与主体工程同时</w:t>
      </w:r>
      <w:r>
        <w:t xml:space="preserve"> </w:t>
      </w:r>
      <w:r>
        <w:rPr>
          <w:spacing w:val="-1"/>
        </w:rPr>
        <w:t>设计、同时施工、同时投入使用的环境保护“三同时”制度。项目竣</w:t>
      </w:r>
      <w:r>
        <w:rPr>
          <w:spacing w:val="8"/>
        </w:rPr>
        <w:t xml:space="preserve"> </w:t>
      </w:r>
      <w:r>
        <w:t>工后，按要求完成竣工环境保护验收，经验收合格，项目方可正式投</w:t>
      </w:r>
      <w:r>
        <w:rPr>
          <w:spacing w:val="1"/>
        </w:rPr>
        <w:t xml:space="preserve"> </w:t>
      </w:r>
      <w:r>
        <w:rPr>
          <w:spacing w:val="25"/>
          <w:sz w:val="28"/>
          <w:szCs w:val="28"/>
        </w:rPr>
        <w:t>入运行。</w:t>
      </w:r>
    </w:p>
    <w:p w14:paraId="67AE32C7">
      <w:pPr>
        <w:pStyle w:val="2"/>
        <w:spacing w:before="115" w:line="311" w:lineRule="auto"/>
        <w:ind w:right="1038" w:firstLine="630"/>
        <w:rPr>
          <w:sz w:val="28"/>
          <w:szCs w:val="28"/>
        </w:rPr>
      </w:pPr>
      <w:r>
        <w:rPr>
          <w:spacing w:val="-1"/>
        </w:rPr>
        <w:t>四、如建设项目的性质、规模、地点、采用的生产工艺或者防治</w:t>
      </w:r>
      <w:r>
        <w:rPr>
          <w:spacing w:val="18"/>
        </w:rPr>
        <w:t xml:space="preserve"> </w:t>
      </w:r>
      <w:r>
        <w:rPr>
          <w:spacing w:val="-1"/>
        </w:rPr>
        <w:t>污染、防止生态破坏的措施发生重大变动的，应重新报批环境影响评</w:t>
      </w:r>
      <w:r>
        <w:rPr>
          <w:spacing w:val="1"/>
        </w:rPr>
        <w:t xml:space="preserve"> </w:t>
      </w:r>
      <w:r>
        <w:rPr>
          <w:spacing w:val="-1"/>
        </w:rPr>
        <w:t>价文件。环境影响报告表批准之日起超过五年，方决定项目开工建设</w:t>
      </w:r>
      <w:r>
        <w:rPr>
          <w:spacing w:val="6"/>
        </w:rPr>
        <w:t xml:space="preserve"> </w:t>
      </w:r>
      <w:r>
        <w:rPr>
          <w:spacing w:val="31"/>
          <w:sz w:val="28"/>
          <w:szCs w:val="28"/>
        </w:rPr>
        <w:t>的，应报我局重新审核。</w:t>
      </w:r>
    </w:p>
    <w:p w14:paraId="635A5329">
      <w:pPr>
        <w:pStyle w:val="2"/>
        <w:spacing w:before="212" w:line="289" w:lineRule="auto"/>
        <w:ind w:right="1037" w:firstLine="630"/>
        <w:rPr>
          <w:sz w:val="28"/>
          <w:szCs w:val="28"/>
        </w:rPr>
      </w:pPr>
      <w:r>
        <w:t>五、国家或地方出台新的法律、法规、排放</w:t>
      </w:r>
      <w:r>
        <w:rPr>
          <w:spacing w:val="-1"/>
        </w:rPr>
        <w:t>标准及管理要求，企</w:t>
      </w:r>
      <w:r>
        <w:t xml:space="preserve"> </w:t>
      </w:r>
      <w:r>
        <w:rPr>
          <w:spacing w:val="27"/>
          <w:sz w:val="28"/>
          <w:szCs w:val="28"/>
        </w:rPr>
        <w:t>业应从其规定。</w:t>
      </w:r>
    </w:p>
    <w:p w14:paraId="417D51DE">
      <w:pPr>
        <w:pStyle w:val="2"/>
        <w:spacing w:before="230" w:line="326" w:lineRule="auto"/>
        <w:ind w:right="1029" w:firstLine="630"/>
        <w:rPr>
          <w:sz w:val="28"/>
          <w:szCs w:val="28"/>
        </w:rPr>
      </w:pPr>
      <w:r>
        <w:rPr>
          <w:spacing w:val="-4"/>
        </w:rPr>
        <w:t>六</w:t>
      </w:r>
      <w:r>
        <w:rPr>
          <w:spacing w:val="-49"/>
        </w:rPr>
        <w:t xml:space="preserve"> </w:t>
      </w:r>
      <w:r>
        <w:rPr>
          <w:spacing w:val="-4"/>
        </w:rPr>
        <w:t>、由铁岭市生态环境局昌图县分局负责该项目的环境保护日常</w:t>
      </w:r>
      <w:r>
        <w:t xml:space="preserve"> </w:t>
      </w:r>
      <w:r>
        <w:rPr>
          <w:spacing w:val="27"/>
          <w:sz w:val="28"/>
          <w:szCs w:val="28"/>
        </w:rPr>
        <w:t>监督检查工作。</w:t>
      </w:r>
    </w:p>
    <w:p w14:paraId="3CF56A90">
      <w:pPr>
        <w:spacing w:line="256" w:lineRule="auto"/>
        <w:rPr>
          <w:rFonts w:ascii="Arial"/>
          <w:sz w:val="21"/>
        </w:rPr>
      </w:pPr>
    </w:p>
    <w:p w14:paraId="4036E532">
      <w:pPr>
        <w:spacing w:line="256" w:lineRule="auto"/>
        <w:rPr>
          <w:rFonts w:ascii="Arial"/>
          <w:sz w:val="21"/>
        </w:rPr>
      </w:pPr>
    </w:p>
    <w:p w14:paraId="4485CE08">
      <w:pPr>
        <w:spacing w:line="256" w:lineRule="auto"/>
        <w:rPr>
          <w:rFonts w:ascii="Arial"/>
          <w:sz w:val="21"/>
        </w:rPr>
      </w:pPr>
    </w:p>
    <w:p w14:paraId="43AC3E5A">
      <w:pPr>
        <w:spacing w:line="257" w:lineRule="auto"/>
        <w:rPr>
          <w:rFonts w:ascii="Arial"/>
          <w:sz w:val="21"/>
        </w:rPr>
      </w:pPr>
    </w:p>
    <w:p w14:paraId="51217541">
      <w:pPr>
        <w:spacing w:line="247" w:lineRule="auto"/>
        <w:rPr>
          <w:rFonts w:ascii="Arial"/>
          <w:sz w:val="21"/>
        </w:rPr>
      </w:pPr>
    </w:p>
    <w:p w14:paraId="7CEA4F18">
      <w:pPr>
        <w:spacing w:line="247" w:lineRule="auto"/>
        <w:rPr>
          <w:rFonts w:ascii="Arial"/>
          <w:sz w:val="21"/>
        </w:rPr>
      </w:pPr>
    </w:p>
    <w:p w14:paraId="6ABF4685">
      <w:pPr>
        <w:spacing w:line="247" w:lineRule="auto"/>
        <w:rPr>
          <w:rFonts w:ascii="Arial"/>
          <w:sz w:val="21"/>
        </w:rPr>
      </w:pPr>
    </w:p>
    <w:p w14:paraId="6FBBD651">
      <w:pPr>
        <w:spacing w:line="247" w:lineRule="auto"/>
        <w:rPr>
          <w:rFonts w:ascii="Arial"/>
          <w:sz w:val="21"/>
        </w:rPr>
      </w:pPr>
    </w:p>
    <w:p w14:paraId="5C7E9757">
      <w:pPr>
        <w:spacing w:line="247" w:lineRule="auto"/>
        <w:rPr>
          <w:rFonts w:ascii="Arial"/>
          <w:sz w:val="21"/>
        </w:rPr>
      </w:pPr>
    </w:p>
    <w:p w14:paraId="04CE010A">
      <w:pPr>
        <w:spacing w:line="247" w:lineRule="auto"/>
        <w:rPr>
          <w:rFonts w:ascii="Arial"/>
          <w:sz w:val="21"/>
        </w:rPr>
      </w:pPr>
    </w:p>
    <w:p w14:paraId="09F9596C">
      <w:pPr>
        <w:spacing w:line="247" w:lineRule="auto"/>
        <w:rPr>
          <w:rFonts w:ascii="Arial"/>
          <w:sz w:val="21"/>
        </w:rPr>
      </w:pPr>
    </w:p>
    <w:p w14:paraId="40B8ACF2">
      <w:pPr>
        <w:spacing w:line="247" w:lineRule="auto"/>
        <w:rPr>
          <w:rFonts w:ascii="Arial"/>
          <w:sz w:val="21"/>
        </w:rPr>
      </w:pPr>
    </w:p>
    <w:p w14:paraId="036C8A92">
      <w:pPr>
        <w:spacing w:line="247" w:lineRule="auto"/>
        <w:rPr>
          <w:rFonts w:ascii="Arial"/>
          <w:sz w:val="21"/>
        </w:rPr>
      </w:pPr>
    </w:p>
    <w:sectPr>
      <w:footerReference r:id="rId8" w:type="default"/>
      <w:pgSz w:w="11900" w:h="16840"/>
      <w:pgMar w:top="1132" w:right="270" w:bottom="1266" w:left="1009" w:header="0" w:footer="113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8E987D">
    <w:pPr>
      <w:spacing w:line="173" w:lineRule="auto"/>
      <w:ind w:left="4750"/>
      <w:rPr>
        <w:rFonts w:ascii="Times New Roman" w:hAnsi="Times New Roman" w:eastAsia="Times New Roman" w:cs="Times New Roman"/>
        <w:sz w:val="14"/>
        <w:szCs w:val="14"/>
      </w:rPr>
    </w:pPr>
    <w:r>
      <w:rPr>
        <w:rFonts w:ascii="Times New Roman" w:hAnsi="Times New Roman" w:eastAsia="Times New Roman" w:cs="Times New Roman"/>
        <w:sz w:val="14"/>
        <w:szCs w:val="14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A135D0">
    <w:pPr>
      <w:spacing w:line="174" w:lineRule="auto"/>
      <w:ind w:left="4710"/>
      <w:rPr>
        <w:rFonts w:ascii="Times New Roman" w:hAnsi="Times New Roman" w:eastAsia="Times New Roman" w:cs="Times New Roman"/>
        <w:sz w:val="15"/>
        <w:szCs w:val="15"/>
      </w:rPr>
    </w:pPr>
    <w:r>
      <w:rPr>
        <w:rFonts w:ascii="Times New Roman" w:hAnsi="Times New Roman" w:eastAsia="Times New Roman" w:cs="Times New Roman"/>
        <w:sz w:val="15"/>
        <w:szCs w:val="15"/>
      </w:rPr>
      <w:t>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8F42F1">
    <w:pPr>
      <w:spacing w:line="174" w:lineRule="auto"/>
      <w:ind w:left="4740"/>
      <w:rPr>
        <w:rFonts w:ascii="Times New Roman" w:hAnsi="Times New Roman" w:eastAsia="Times New Roman" w:cs="Times New Roman"/>
        <w:sz w:val="15"/>
        <w:szCs w:val="15"/>
      </w:rPr>
    </w:pPr>
    <w:r>
      <w:rPr>
        <w:rFonts w:ascii="Times New Roman" w:hAnsi="Times New Roman" w:eastAsia="Times New Roman" w:cs="Times New Roman"/>
        <w:sz w:val="15"/>
        <w:szCs w:val="15"/>
      </w:rPr>
      <w:t>3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2D672B">
    <w:pPr>
      <w:spacing w:line="173" w:lineRule="auto"/>
      <w:ind w:left="4680"/>
      <w:rPr>
        <w:rFonts w:ascii="Times New Roman" w:hAnsi="Times New Roman" w:eastAsia="Times New Roman" w:cs="Times New Roman"/>
        <w:sz w:val="14"/>
        <w:szCs w:val="14"/>
      </w:rPr>
    </w:pPr>
    <w:r>
      <w:rPr>
        <w:rFonts w:ascii="Times New Roman" w:hAnsi="Times New Roman" w:eastAsia="Times New Roman" w:cs="Times New Roman"/>
        <w:sz w:val="14"/>
        <w:szCs w:val="14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47A82B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1940</Words>
  <Characters>2131</Characters>
  <TotalTime>0</TotalTime>
  <ScaleCrop>false</ScaleCrop>
  <LinksUpToDate>false</LinksUpToDate>
  <CharactersWithSpaces>2211</CharactersWithSpaces>
  <Application>WPS Office_12.1.0.19770_F1E327BC-269C-435d-A152-05C5408002CA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2025-01-07T15:16:00Z</dcterms:created>
  <dc:creator>Kingsoft-PDF</dc:creator>
  <cp:lastModifiedBy>Friend</cp:lastModifiedBy>
  <dcterms:modified xsi:type="dcterms:W3CDTF">2025-01-07T07:19:32Z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2025-01-07T15:16:31Z</vt:filetime>
  </property>
  <property fmtid="{D5CDD505-2E9C-101B-9397-08002B2CF9AE}" pid="4" name="UsrData">
    <vt:lpwstr>677cd4cc182be6001ff35e5awl</vt:lpwstr>
  </property>
  <property fmtid="{D5CDD505-2E9C-101B-9397-08002B2CF9AE}" pid="5" name="KSOTemplateDocerSaveRecord">
    <vt:lpwstr>eyJoZGlkIjoiNDk3ZDEyZDVkYmUwNTNmNjBjMmIxYmQxNzlhYTMxNTIiLCJ1c2VySWQiOiIzODYwMTY0MzUifQ==</vt:lpwstr>
  </property>
  <property fmtid="{D5CDD505-2E9C-101B-9397-08002B2CF9AE}" pid="6" name="KSOProductBuildVer">
    <vt:lpwstr>2052-12.1.0.19770</vt:lpwstr>
  </property>
  <property fmtid="{D5CDD505-2E9C-101B-9397-08002B2CF9AE}" pid="7" name="ICV">
    <vt:lpwstr>08DDA51E345E468697B25F5FC5BF5131_13</vt:lpwstr>
  </property>
</Properties>
</file>