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720" w:lineRule="exact"/>
        <w:jc w:val="center"/>
        <w:rPr>
          <w:rFonts w:ascii="方正小标宋简体" w:hAnsi="宋体" w:eastAsia="方正小标宋简体" w:cs="Times New Roman"/>
          <w:color w:val="FF0000"/>
          <w:spacing w:val="176"/>
          <w:w w:val="79"/>
          <w:sz w:val="110"/>
          <w:szCs w:val="110"/>
        </w:rPr>
      </w:pPr>
    </w:p>
    <w:p>
      <w:pPr>
        <w:jc w:val="center"/>
        <w:rPr>
          <w:rFonts w:ascii="方正小标宋简体" w:hAnsi="宋体" w:eastAsia="方正小标宋简体" w:cs="Times New Roman"/>
          <w:color w:val="FF0000"/>
          <w:spacing w:val="134"/>
          <w:w w:val="67"/>
          <w:sz w:val="102"/>
          <w:szCs w:val="102"/>
        </w:rPr>
      </w:pPr>
    </w:p>
    <w:p>
      <w:pPr>
        <w:spacing w:line="520" w:lineRule="exact"/>
        <w:rPr>
          <w:rFonts w:ascii="方正小标宋简体" w:hAnsi="宋体" w:eastAsia="方正小标宋简体" w:cs="Times New Roman"/>
          <w:spacing w:val="130"/>
          <w:w w:val="88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kern w:val="3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Times New Roman"/>
          <w:kern w:val="32"/>
          <w:sz w:val="32"/>
          <w:szCs w:val="32"/>
        </w:rPr>
        <w:t>铁交</w:t>
      </w:r>
      <w:r>
        <w:rPr>
          <w:rFonts w:hint="eastAsia" w:ascii="仿宋_GB2312" w:hAnsi="宋体" w:eastAsia="仿宋_GB2312" w:cs="Times New Roman"/>
          <w:kern w:val="32"/>
          <w:sz w:val="32"/>
          <w:szCs w:val="32"/>
          <w:lang w:eastAsia="zh-CN"/>
        </w:rPr>
        <w:t>财审</w:t>
      </w:r>
      <w:r>
        <w:rPr>
          <w:rFonts w:hint="eastAsia" w:ascii="仿宋_GB2312" w:hAnsi="宋体" w:eastAsia="仿宋_GB2312" w:cs="Times New Roman"/>
          <w:kern w:val="32"/>
          <w:sz w:val="32"/>
          <w:szCs w:val="32"/>
        </w:rPr>
        <w:t>〔20</w:t>
      </w:r>
      <w:r>
        <w:rPr>
          <w:rFonts w:hint="eastAsia" w:ascii="仿宋_GB2312" w:hAnsi="宋体" w:eastAsia="仿宋_GB2312" w:cs="Times New Roman"/>
          <w:kern w:val="32"/>
          <w:sz w:val="32"/>
          <w:szCs w:val="32"/>
          <w:lang w:val="en-US" w:eastAsia="zh-CN"/>
        </w:rPr>
        <w:t>22</w:t>
      </w:r>
      <w:r>
        <w:rPr>
          <w:rFonts w:ascii="仿宋_GB2312" w:hAnsi="宋体" w:eastAsia="仿宋_GB2312" w:cs="Times New Roman"/>
          <w:kern w:val="32"/>
          <w:sz w:val="32"/>
          <w:szCs w:val="32"/>
        </w:rPr>
        <w:t>〕</w:t>
      </w:r>
      <w:r>
        <w:rPr>
          <w:rFonts w:hint="eastAsia" w:ascii="仿宋_GB2312" w:hAnsi="宋体" w:eastAsia="仿宋_GB2312" w:cs="Times New Roman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kern w:val="32"/>
          <w:sz w:val="32"/>
          <w:szCs w:val="32"/>
        </w:rPr>
        <w:t>号</w:t>
      </w:r>
    </w:p>
    <w:bookmarkEnd w:id="0"/>
    <w:p>
      <w:pPr>
        <w:spacing w:line="700" w:lineRule="exact"/>
        <w:jc w:val="center"/>
        <w:rPr>
          <w:rFonts w:ascii="方正小标宋简体" w:hAnsi="宋体" w:eastAsia="方正小标宋简体" w:cs="Times New Roman"/>
          <w:spacing w:val="130"/>
          <w:w w:val="88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印发《铁岭市交通运输局部门预决算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信息公开管理办法（试行）》的通知</w:t>
      </w:r>
    </w:p>
    <w:p>
      <w:pPr>
        <w:spacing w:line="560" w:lineRule="exact"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铁岭市交通运输综合行政执法队、局机关各科室：</w:t>
      </w:r>
    </w:p>
    <w:p>
      <w:pPr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按照</w:t>
      </w:r>
      <w:r>
        <w:rPr>
          <w:rFonts w:hint="eastAsia" w:ascii="仿宋_GB2312" w:hAnsi="仿宋" w:eastAsia="仿宋_GB2312"/>
          <w:sz w:val="32"/>
          <w:szCs w:val="32"/>
        </w:rPr>
        <w:t>《中华人民共和国预算法》和《中华人民共和国政府信息公开条例》等有关规定，结合本单位实际制定了</w:t>
      </w:r>
      <w:r>
        <w:rPr>
          <w:rFonts w:hint="eastAsia" w:ascii="仿宋_GB2312" w:eastAsia="仿宋_GB2312" w:hAnsiTheme="majorEastAsia"/>
          <w:sz w:val="32"/>
          <w:szCs w:val="32"/>
        </w:rPr>
        <w:t>《铁岭市交通运输局部门预决算信息公开管理办法（试行）》</w:t>
      </w:r>
      <w:r>
        <w:rPr>
          <w:rFonts w:hint="eastAsia" w:ascii="仿宋_GB2312" w:hAnsi="仿宋" w:eastAsia="仿宋_GB2312"/>
          <w:sz w:val="32"/>
          <w:szCs w:val="32"/>
        </w:rPr>
        <w:t>，现印发给你们，请贯彻落实。</w:t>
      </w:r>
    </w:p>
    <w:p>
      <w:pPr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铁岭市交通运输局</w:t>
      </w:r>
    </w:p>
    <w:p>
      <w:pPr>
        <w:spacing w:line="560" w:lineRule="exact"/>
        <w:ind w:firstLine="64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2022</w:t>
      </w:r>
      <w:r>
        <w:rPr>
          <w:rFonts w:hint="eastAsia" w:ascii="仿宋_GB2312" w:hAnsi="仿宋" w:eastAsia="仿宋_GB2312"/>
          <w:sz w:val="32"/>
          <w:szCs w:val="32"/>
        </w:rPr>
        <w:t>年1月2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ind w:firstLine="852" w:firstLineChars="20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铁岭市交通运输局部门预决算信息公开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管理办法（试行）</w:t>
      </w:r>
    </w:p>
    <w:p>
      <w:pPr>
        <w:spacing w:line="560" w:lineRule="exact"/>
        <w:jc w:val="center"/>
        <w:rPr>
          <w:rFonts w:ascii="仿宋_GB2312" w:eastAsia="仿宋_GB2312" w:hAnsiTheme="majorEastAsia"/>
          <w:sz w:val="44"/>
          <w:szCs w:val="44"/>
        </w:rPr>
      </w:pPr>
    </w:p>
    <w:p>
      <w:pPr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为推进和规范预决算信息公开工作，强化社会监督，促进依法理财，建立透明预算制度，根据《中华人民共和国预算法》和《中华人民共和国政府信息公开条例》等有关规定，结合本单位实际，制定本办法。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本办法适用于铁岭市交通运输局部门预决算信息公开管理。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</w:t>
      </w:r>
      <w:r>
        <w:rPr>
          <w:rFonts w:hint="eastAsia" w:ascii="仿宋_GB2312" w:hAnsi="仿宋" w:eastAsia="仿宋_GB2312"/>
          <w:sz w:val="32"/>
          <w:szCs w:val="32"/>
        </w:rPr>
        <w:t xml:space="preserve">  本办法所称部门预决算信息包括预算收支安排、预算执行、决算数据等。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第四条</w:t>
      </w:r>
      <w:r>
        <w:rPr>
          <w:rFonts w:hint="eastAsia" w:ascii="仿宋_GB2312" w:hAnsi="仿宋" w:eastAsia="仿宋_GB2312"/>
          <w:sz w:val="32"/>
          <w:szCs w:val="32"/>
        </w:rPr>
        <w:t xml:space="preserve">  预决算信息公开的原则：以公开为常态，不公开为例外，依法依规公开预决算。除涉及国家秘密外，不得少公开、不公开应当公开的事项，确保预决算信息公开及时、准确和完整。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第五条</w:t>
      </w:r>
      <w:r>
        <w:rPr>
          <w:rFonts w:hint="eastAsia" w:ascii="仿宋_GB2312" w:hAnsi="仿宋" w:eastAsia="仿宋_GB2312"/>
          <w:sz w:val="32"/>
          <w:szCs w:val="32"/>
        </w:rPr>
        <w:t xml:space="preserve">  财务审计科室负责本单位预决算信息公开工作，履行下列职责：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（一）制定本单位预决算信息公开的工作方案；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（二）按规定公开本单位预决算信息；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（三）按规定做好公民、法人或者其他组织依申请公开部门预决算信息的答复工作。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第六条  </w:t>
      </w:r>
      <w:r>
        <w:rPr>
          <w:rFonts w:hint="eastAsia" w:ascii="仿宋_GB2312" w:hAnsi="仿宋" w:eastAsia="仿宋_GB2312"/>
          <w:sz w:val="32"/>
          <w:szCs w:val="32"/>
        </w:rPr>
        <w:t>部门预决算信息公开内容包括：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（一）部门文件。部门预决算信息公开管理办法。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（二）部门概况。包括部门职责、机构设置等情况。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（三）预决算收支情况表。包括部门收支总体情况、财政拨款安排使用情况、“三公”经费财政拨款安排使用情况等。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（四）情况说明。包括预决算年度收支、机关运行经费、政府采购、“三公”经费、国有资产占有使用和项目支出绩效目标等情况说明。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（五）名词解释。对预决算相关专业名词进行解释说明。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第七条  </w:t>
      </w:r>
      <w:r>
        <w:rPr>
          <w:rFonts w:hint="eastAsia" w:ascii="仿宋_GB2312" w:hAnsi="仿宋" w:eastAsia="仿宋_GB2312"/>
          <w:sz w:val="32"/>
          <w:szCs w:val="32"/>
        </w:rPr>
        <w:t>部门预决算信息在市政府门户网站“财政预决算”专栏同步公开，并保持长期公开状态，便于社会公众查询监督。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第八条</w:t>
      </w:r>
      <w:r>
        <w:rPr>
          <w:rFonts w:hint="eastAsia" w:ascii="仿宋_GB2312" w:hAnsi="仿宋" w:eastAsia="仿宋_GB2312"/>
          <w:sz w:val="32"/>
          <w:szCs w:val="32"/>
        </w:rPr>
        <w:t xml:space="preserve">  经市财政局批复的部门预决算及报表，应当在批复后20日内公开。</w:t>
      </w:r>
    </w:p>
    <w:p>
      <w:pPr>
        <w:spacing w:line="560" w:lineRule="exact"/>
        <w:ind w:firstLine="61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第九条</w:t>
      </w:r>
      <w:r>
        <w:rPr>
          <w:rFonts w:hint="eastAsia" w:ascii="仿宋_GB2312" w:hAnsi="仿宋" w:eastAsia="仿宋_GB2312"/>
          <w:sz w:val="32"/>
          <w:szCs w:val="32"/>
        </w:rPr>
        <w:t xml:space="preserve">  本办法自印发之日起实行。</w:t>
      </w:r>
    </w:p>
    <w:p>
      <w:pPr>
        <w:spacing w:line="560" w:lineRule="exact"/>
        <w:rPr>
          <w:rFonts w:ascii="仿宋_GB2312" w:eastAsia="仿宋_GB2312"/>
        </w:rPr>
      </w:pPr>
    </w:p>
    <w:p>
      <w:pPr>
        <w:pStyle w:val="2"/>
      </w:pPr>
    </w:p>
    <w:p>
      <w:pPr>
        <w:pStyle w:val="2"/>
      </w:pPr>
    </w:p>
    <w:p>
      <w:pPr>
        <w:ind w:firstLine="53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378460</wp:posOffset>
                </wp:positionV>
                <wp:extent cx="560895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8pt;height:0pt;width:441.65pt;z-index:251659264;mso-width-relative:page;mso-height-relative:page;" filled="f" stroked="t" coordsize="21600,21600" o:gfxdata="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rDepdEAAAAG&#10;AQAADwAAAAAAAAABACAAAAAiAAAAZHJzL2Rvd25yZXYueG1sUEsBAhQAFAAAAAgAh07iQLIR8Evq&#10;AQAAuQMAAA4AAAAAAAAAAQAgAAAAIAEAAGRycy9lMm9Eb2MueG1sUEsFBgAAAAAGAAYAWQEAAHwF&#10;AAAAAA==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746125</wp:posOffset>
                </wp:positionV>
                <wp:extent cx="560895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8.75pt;height:0pt;width:441.65pt;mso-position-horizontal:center;mso-position-horizontal-relative:margin;z-index:251660288;mso-width-relative:page;mso-height-relative:page;" filled="f" stroked="t" coordsize="21600,21600" o:gfxdata="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/sAj/SAAAA&#10;CAEAAA8AAAAAAAAAAQAgAAAAIgAAAGRycy9kb3ducmV2LnhtbFBLAQIUABQAAAAIAIdO4kD+V+ML&#10;6gEAALkDAAAOAAAAAAAAAAEAIAAAACEBAABkcnMvZTJvRG9jLnhtbFBLBQYAAAAABgAGAFkBAAB9&#10;BQAAAAA=&#10;">
                <v:fill on="f" focussize="0,0"/>
                <v:stroke weight="0.99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66" w:firstLineChars="100"/>
        <w:sectPr>
          <w:footerReference r:id="rId3" w:type="default"/>
          <w:pgSz w:w="11906" w:h="16838"/>
          <w:pgMar w:top="2098" w:right="1474" w:bottom="1985" w:left="1588" w:header="851" w:footer="1066" w:gutter="0"/>
          <w:pgNumType w:fmt="numberInDash"/>
          <w:cols w:space="425" w:num="1"/>
          <w:docGrid w:type="linesAndChars" w:linePitch="579" w:charSpace="-2926"/>
        </w:sectPr>
      </w:pPr>
      <w:r>
        <w:rPr>
          <w:rFonts w:hint="eastAsia" w:ascii="仿宋_GB2312" w:hAnsi="宋体" w:eastAsia="仿宋_GB2312" w:cs="Times New Roman"/>
          <w:sz w:val="28"/>
          <w:szCs w:val="28"/>
        </w:rPr>
        <w:t xml:space="preserve">铁岭市交通运输局办公室             </w:t>
      </w:r>
      <w:r>
        <w:rPr>
          <w:rFonts w:ascii="仿宋_GB2312" w:hAnsi="宋体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 </w:t>
      </w:r>
      <w:r>
        <w:rPr>
          <w:rFonts w:ascii="仿宋_GB2312" w:hAnsi="宋体" w:eastAsia="仿宋_GB2312" w:cs="Times New Roman"/>
          <w:sz w:val="28"/>
          <w:szCs w:val="28"/>
        </w:rPr>
        <w:t xml:space="preserve">  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</w:t>
      </w:r>
      <w:r>
        <w:rPr>
          <w:rFonts w:ascii="仿宋_GB2312" w:hAnsi="宋体" w:eastAsia="仿宋_GB2312" w:cs="Times New Roman"/>
          <w:sz w:val="28"/>
          <w:szCs w:val="28"/>
        </w:rPr>
        <w:t xml:space="preserve"> 20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22</w:t>
      </w:r>
      <w:r>
        <w:rPr>
          <w:rFonts w:ascii="仿宋_GB2312" w:hAnsi="宋体" w:eastAsia="仿宋_GB2312" w:cs="Times New Roman"/>
          <w:sz w:val="28"/>
          <w:szCs w:val="28"/>
        </w:rPr>
        <w:t>年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1</w:t>
      </w:r>
      <w:r>
        <w:rPr>
          <w:rFonts w:ascii="仿宋_GB2312" w:hAnsi="宋体" w:eastAsia="仿宋_GB2312" w:cs="Times New Roman"/>
          <w:sz w:val="28"/>
          <w:szCs w:val="28"/>
        </w:rPr>
        <w:t>月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>26</w:t>
      </w:r>
      <w:r>
        <w:rPr>
          <w:rFonts w:ascii="仿宋_GB2312" w:hAnsi="宋体" w:eastAsia="仿宋_GB2312" w:cs="Times New Roman"/>
          <w:sz w:val="28"/>
          <w:szCs w:val="28"/>
        </w:rPr>
        <w:t>日</w:t>
      </w:r>
      <w:r>
        <w:rPr>
          <w:rFonts w:hint="eastAsia" w:ascii="仿宋_GB2312" w:hAnsi="宋体" w:eastAsia="仿宋_GB2312" w:cs="Times New Roman"/>
          <w:sz w:val="28"/>
          <w:szCs w:val="28"/>
        </w:rPr>
        <w:t>印发</w:t>
      </w:r>
    </w:p>
    <w:p/>
    <w:sectPr>
      <w:footerReference r:id="rId4" w:type="default"/>
      <w:pgSz w:w="11906" w:h="16838"/>
      <w:pgMar w:top="2098" w:right="1474" w:bottom="1985" w:left="1588" w:header="851" w:footer="1066" w:gutter="0"/>
      <w:pgNumType w:fmt="numberInDash"/>
      <w:cols w:space="425" w:num="1"/>
      <w:docGrid w:type="linesAndChars" w:linePitch="579" w:charSpace="-2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439FB"/>
    <w:rsid w:val="082439FB"/>
    <w:rsid w:val="1F4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2022-01-26T03:26:00Z</dcterms:created>
  <dc:creator>Administrator</dc:creator>
  <cp:lastModifiedBy>Administrator</cp:lastModifiedBy>
  <cp:lastPrinted>2022-01-26T05:01:21Z</cp:lastPrinted>
  <dcterms:modified xsi:type="dcterms:W3CDTF">2022-01-26T05:01:47Z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028199F570FB42BFB5BE6F07C4D7775D</vt:lpwstr>
  </property>
</Properties>
</file>