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46" w:line="219" w:lineRule="auto"/>
        <w:ind w:left="7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铁岭市农业</w:t>
      </w:r>
      <w:r>
        <w:rPr>
          <w:rFonts w:hint="eastAsia" w:ascii="宋体" w:hAnsi="宋体" w:eastAsia="宋体" w:cs="宋体"/>
          <w:b/>
          <w:bCs/>
          <w:spacing w:val="-17"/>
          <w:sz w:val="45"/>
          <w:szCs w:val="45"/>
          <w:lang w:eastAsia="zh-CN"/>
        </w:rPr>
        <w:t>科学院</w:t>
      </w:r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部门预决算信息公开</w:t>
      </w:r>
    </w:p>
    <w:p>
      <w:pPr>
        <w:spacing w:before="9" w:line="219" w:lineRule="auto"/>
        <w:ind w:left="277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7"/>
          <w:sz w:val="45"/>
          <w:szCs w:val="45"/>
        </w:rPr>
        <w:t>管理办法(试行)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pStyle w:val="2"/>
        <w:spacing w:before="107" w:line="314" w:lineRule="auto"/>
        <w:ind w:left="99" w:firstLine="644"/>
      </w:pPr>
      <w:r>
        <w:rPr>
          <w:rFonts w:ascii="SimHei" w:hAnsi="SimHei" w:eastAsia="SimHei" w:cs="SimHei"/>
          <w:b/>
          <w:bCs/>
          <w:spacing w:val="-19"/>
        </w:rPr>
        <w:t>第一条</w:t>
      </w:r>
      <w:r>
        <w:rPr>
          <w:rFonts w:ascii="SimHei" w:hAnsi="SimHei" w:eastAsia="SimHei" w:cs="SimHei"/>
          <w:spacing w:val="-19"/>
        </w:rPr>
        <w:t xml:space="preserve">  </w:t>
      </w:r>
      <w:r>
        <w:rPr>
          <w:spacing w:val="-19"/>
        </w:rPr>
        <w:t>为推进和规范预决算信息公开工作，强化社会监督，</w:t>
      </w:r>
      <w:r>
        <w:rPr>
          <w:spacing w:val="11"/>
        </w:rPr>
        <w:t xml:space="preserve"> </w:t>
      </w:r>
      <w:r>
        <w:rPr>
          <w:spacing w:val="-17"/>
        </w:rPr>
        <w:t xml:space="preserve">促进依法理财，建立透明预算制度，根据《中华人民共和国预算  </w:t>
      </w:r>
      <w:r>
        <w:rPr>
          <w:spacing w:val="-16"/>
        </w:rPr>
        <w:t>法》和《中华人民共和国政府信息公开条例》等有关规定，结合</w:t>
      </w:r>
    </w:p>
    <w:p>
      <w:pPr>
        <w:pStyle w:val="2"/>
        <w:spacing w:before="1" w:line="220" w:lineRule="auto"/>
        <w:ind w:left="99"/>
      </w:pPr>
      <w:r>
        <w:rPr>
          <w:spacing w:val="-17"/>
        </w:rPr>
        <w:t>本单位实际，制定本办法。</w:t>
      </w:r>
    </w:p>
    <w:p>
      <w:pPr>
        <w:pStyle w:val="2"/>
        <w:spacing w:before="205" w:line="553" w:lineRule="exact"/>
        <w:ind w:left="744"/>
      </w:pPr>
      <w:r>
        <w:rPr>
          <w:rFonts w:ascii="SimHei" w:hAnsi="SimHei" w:eastAsia="SimHei" w:cs="SimHei"/>
          <w:b/>
          <w:bCs/>
          <w:spacing w:val="-5"/>
          <w:position w:val="16"/>
        </w:rPr>
        <w:t>第二条</w:t>
      </w:r>
      <w:r>
        <w:rPr>
          <w:rFonts w:ascii="SimHei" w:hAnsi="SimHei" w:eastAsia="SimHei" w:cs="SimHei"/>
          <w:spacing w:val="160"/>
          <w:position w:val="16"/>
        </w:rPr>
        <w:t xml:space="preserve"> </w:t>
      </w:r>
      <w:r>
        <w:rPr>
          <w:spacing w:val="-5"/>
          <w:position w:val="16"/>
        </w:rPr>
        <w:t>本办法适用于铁岭市农业</w:t>
      </w:r>
      <w:r>
        <w:rPr>
          <w:rFonts w:hint="eastAsia"/>
          <w:spacing w:val="-5"/>
          <w:position w:val="16"/>
          <w:lang w:eastAsia="zh-CN"/>
        </w:rPr>
        <w:t>科学院</w:t>
      </w:r>
      <w:r>
        <w:rPr>
          <w:spacing w:val="-5"/>
          <w:position w:val="16"/>
        </w:rPr>
        <w:t>部门预决</w:t>
      </w:r>
      <w:r>
        <w:rPr>
          <w:spacing w:val="-6"/>
          <w:position w:val="16"/>
        </w:rPr>
        <w:t>算信息</w:t>
      </w:r>
    </w:p>
    <w:p>
      <w:pPr>
        <w:pStyle w:val="2"/>
        <w:spacing w:before="1" w:line="222" w:lineRule="auto"/>
        <w:ind w:left="99"/>
      </w:pPr>
      <w:r>
        <w:rPr>
          <w:spacing w:val="-20"/>
        </w:rPr>
        <w:t>公开管理。</w:t>
      </w:r>
    </w:p>
    <w:p>
      <w:pPr>
        <w:pStyle w:val="2"/>
        <w:spacing w:before="149" w:line="581" w:lineRule="exact"/>
        <w:ind w:left="744"/>
      </w:pPr>
      <w:r>
        <w:rPr>
          <w:rFonts w:ascii="SimHei" w:hAnsi="SimHei" w:eastAsia="SimHei" w:cs="SimHei"/>
          <w:b/>
          <w:bCs/>
          <w:spacing w:val="-16"/>
          <w:position w:val="18"/>
        </w:rPr>
        <w:t>第三条</w:t>
      </w:r>
      <w:r>
        <w:rPr>
          <w:rFonts w:ascii="SimHei" w:hAnsi="SimHei" w:eastAsia="SimHei" w:cs="SimHei"/>
          <w:spacing w:val="-16"/>
          <w:position w:val="18"/>
        </w:rPr>
        <w:t xml:space="preserve">  </w:t>
      </w:r>
      <w:r>
        <w:rPr>
          <w:spacing w:val="-16"/>
          <w:position w:val="18"/>
        </w:rPr>
        <w:t>本办法所称部门预决算信息包括预算收支</w:t>
      </w:r>
      <w:r>
        <w:rPr>
          <w:spacing w:val="-17"/>
          <w:position w:val="18"/>
        </w:rPr>
        <w:t>安排、预</w:t>
      </w:r>
    </w:p>
    <w:p>
      <w:pPr>
        <w:pStyle w:val="2"/>
        <w:spacing w:before="1" w:line="220" w:lineRule="auto"/>
        <w:ind w:left="99"/>
      </w:pPr>
      <w:r>
        <w:rPr>
          <w:spacing w:val="-17"/>
        </w:rPr>
        <w:t>算执行、决算数据等。</w:t>
      </w:r>
    </w:p>
    <w:p>
      <w:pPr>
        <w:pStyle w:val="2"/>
        <w:spacing w:before="174" w:line="308" w:lineRule="auto"/>
        <w:ind w:left="99" w:right="189" w:firstLine="644"/>
      </w:pPr>
      <w:r>
        <w:rPr>
          <w:rFonts w:ascii="SimHei" w:hAnsi="SimHei" w:eastAsia="SimHei" w:cs="SimHei"/>
          <w:b/>
          <w:bCs/>
          <w:spacing w:val="-17"/>
        </w:rPr>
        <w:t>第四条</w:t>
      </w:r>
      <w:r>
        <w:rPr>
          <w:rFonts w:ascii="SimHei" w:hAnsi="SimHei" w:eastAsia="SimHei" w:cs="SimHei"/>
          <w:spacing w:val="-17"/>
        </w:rPr>
        <w:t xml:space="preserve">  </w:t>
      </w:r>
      <w:r>
        <w:rPr>
          <w:spacing w:val="-17"/>
        </w:rPr>
        <w:t>预决算信息公开的原则：以公开为常态，不公开为</w:t>
      </w:r>
      <w:r>
        <w:rPr>
          <w:spacing w:val="9"/>
        </w:rPr>
        <w:t xml:space="preserve"> </w:t>
      </w:r>
      <w:r>
        <w:rPr>
          <w:spacing w:val="-14"/>
        </w:rPr>
        <w:t>例外，依法依规公开预决算。除涉及国家秘密外，不得少公开、</w:t>
      </w:r>
    </w:p>
    <w:p>
      <w:pPr>
        <w:pStyle w:val="2"/>
        <w:spacing w:before="2" w:line="220" w:lineRule="auto"/>
        <w:ind w:left="99"/>
      </w:pPr>
      <w:r>
        <w:rPr>
          <w:spacing w:val="-22"/>
        </w:rPr>
        <w:t>不公开应当公开的事项，确保预决算信息公开及时、准</w:t>
      </w:r>
      <w:r>
        <w:rPr>
          <w:spacing w:val="-23"/>
        </w:rPr>
        <w:t>确和完整。</w:t>
      </w:r>
    </w:p>
    <w:p>
      <w:pPr>
        <w:pStyle w:val="2"/>
        <w:spacing w:before="184" w:line="551" w:lineRule="exact"/>
        <w:ind w:left="744"/>
      </w:pPr>
      <w:r>
        <w:rPr>
          <w:rFonts w:ascii="SimHei" w:hAnsi="SimHei" w:eastAsia="SimHei" w:cs="SimHei"/>
          <w:b/>
          <w:bCs/>
          <w:spacing w:val="-17"/>
          <w:position w:val="16"/>
        </w:rPr>
        <w:t>第五条</w:t>
      </w:r>
      <w:r>
        <w:rPr>
          <w:rFonts w:ascii="SimHei" w:hAnsi="SimHei" w:eastAsia="SimHei" w:cs="SimHei"/>
          <w:spacing w:val="-17"/>
          <w:position w:val="16"/>
        </w:rPr>
        <w:t xml:space="preserve">  </w:t>
      </w:r>
      <w:r>
        <w:rPr>
          <w:spacing w:val="-17"/>
          <w:position w:val="16"/>
        </w:rPr>
        <w:t>财务科室负责本单位预决算信息公开工作，履</w:t>
      </w:r>
    </w:p>
    <w:p>
      <w:pPr>
        <w:pStyle w:val="2"/>
        <w:spacing w:before="2" w:line="220" w:lineRule="auto"/>
        <w:ind w:left="99"/>
      </w:pPr>
      <w:r>
        <w:rPr>
          <w:spacing w:val="-22"/>
        </w:rPr>
        <w:t>行下列职责：</w:t>
      </w:r>
    </w:p>
    <w:p>
      <w:pPr>
        <w:spacing w:line="220" w:lineRule="auto"/>
        <w:sectPr>
          <w:pgSz w:w="11820" w:h="16890"/>
          <w:pgMar w:top="1435" w:right="1195" w:bottom="0" w:left="1479" w:header="0" w:footer="0" w:gutter="0"/>
          <w:cols w:space="720" w:num="1"/>
        </w:sectPr>
      </w:pPr>
    </w:p>
    <w:p>
      <w:pPr>
        <w:pStyle w:val="2"/>
        <w:spacing w:before="319" w:line="571" w:lineRule="exact"/>
        <w:ind w:left="770"/>
        <w:rPr>
          <w:sz w:val="31"/>
          <w:szCs w:val="31"/>
        </w:rPr>
      </w:pPr>
      <w:r>
        <w:rPr>
          <w:spacing w:val="9"/>
          <w:position w:val="19"/>
          <w:sz w:val="31"/>
          <w:szCs w:val="31"/>
        </w:rPr>
        <w:t>(一)制定本单位预决算信息公开的工作方案；</w:t>
      </w:r>
    </w:p>
    <w:p>
      <w:pPr>
        <w:pStyle w:val="2"/>
        <w:spacing w:before="1" w:line="220" w:lineRule="auto"/>
        <w:ind w:left="770"/>
        <w:rPr>
          <w:sz w:val="31"/>
          <w:szCs w:val="31"/>
        </w:rPr>
      </w:pPr>
      <w:r>
        <w:rPr>
          <w:spacing w:val="13"/>
          <w:sz w:val="31"/>
          <w:szCs w:val="31"/>
        </w:rPr>
        <w:t>(二)按规定公开本单位预决算信息；</w:t>
      </w:r>
    </w:p>
    <w:p>
      <w:pPr>
        <w:pStyle w:val="2"/>
        <w:spacing w:before="187" w:line="570" w:lineRule="exact"/>
        <w:ind w:left="770"/>
        <w:rPr>
          <w:sz w:val="31"/>
          <w:szCs w:val="31"/>
        </w:rPr>
      </w:pPr>
      <w:r>
        <w:rPr>
          <w:spacing w:val="10"/>
          <w:position w:val="19"/>
          <w:sz w:val="31"/>
          <w:szCs w:val="31"/>
        </w:rPr>
        <w:t>(三)按规定做好公民、法人或者其他组织依申请公开部门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预决算信息的答复工作。</w:t>
      </w:r>
    </w:p>
    <w:p>
      <w:pPr>
        <w:pStyle w:val="2"/>
        <w:spacing w:before="200" w:line="222" w:lineRule="auto"/>
        <w:ind w:left="604"/>
        <w:rPr>
          <w:sz w:val="31"/>
          <w:szCs w:val="31"/>
        </w:rPr>
      </w:pPr>
      <w:r>
        <w:rPr>
          <w:rFonts w:ascii="SimHei" w:hAnsi="SimHei" w:eastAsia="SimHei" w:cs="SimHei"/>
          <w:b/>
          <w:bCs/>
          <w:spacing w:val="4"/>
          <w:sz w:val="31"/>
          <w:szCs w:val="31"/>
        </w:rPr>
        <w:t>第六条</w:t>
      </w:r>
      <w:r>
        <w:rPr>
          <w:rFonts w:ascii="SimHei" w:hAnsi="SimHei" w:eastAsia="SimHei" w:cs="SimHei"/>
          <w:spacing w:val="4"/>
          <w:sz w:val="31"/>
          <w:szCs w:val="31"/>
        </w:rPr>
        <w:t xml:space="preserve">  </w:t>
      </w:r>
      <w:r>
        <w:rPr>
          <w:spacing w:val="4"/>
          <w:sz w:val="31"/>
          <w:szCs w:val="31"/>
        </w:rPr>
        <w:t>部门预决算信息公开内容包括：</w:t>
      </w:r>
    </w:p>
    <w:p>
      <w:pPr>
        <w:pStyle w:val="2"/>
        <w:spacing w:before="189" w:line="222" w:lineRule="auto"/>
        <w:ind w:left="770"/>
        <w:rPr>
          <w:sz w:val="31"/>
          <w:szCs w:val="31"/>
        </w:rPr>
      </w:pPr>
      <w:r>
        <w:rPr>
          <w:spacing w:val="14"/>
          <w:sz w:val="31"/>
          <w:szCs w:val="31"/>
        </w:rPr>
        <w:t>(一)部门文件。部门预决算信息公开管理办法。</w:t>
      </w:r>
    </w:p>
    <w:p>
      <w:pPr>
        <w:pStyle w:val="2"/>
        <w:spacing w:before="198" w:line="222" w:lineRule="auto"/>
        <w:ind w:left="770"/>
        <w:rPr>
          <w:sz w:val="31"/>
          <w:szCs w:val="31"/>
        </w:rPr>
      </w:pPr>
      <w:r>
        <w:rPr>
          <w:spacing w:val="15"/>
          <w:sz w:val="31"/>
          <w:szCs w:val="31"/>
        </w:rPr>
        <w:t>(二)部门概况。包括部门职责、机构设置等情况。</w:t>
      </w:r>
    </w:p>
    <w:p>
      <w:pPr>
        <w:pStyle w:val="2"/>
        <w:spacing w:before="198" w:line="561" w:lineRule="exact"/>
        <w:ind w:left="770"/>
        <w:rPr>
          <w:sz w:val="31"/>
          <w:szCs w:val="31"/>
        </w:rPr>
      </w:pPr>
      <w:r>
        <w:rPr>
          <w:spacing w:val="10"/>
          <w:position w:val="18"/>
          <w:sz w:val="31"/>
          <w:szCs w:val="31"/>
        </w:rPr>
        <w:t>(三)预决算收支情况表。包括部门收支总体情况、财政拨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款安排使用情况、“三公”经费财政拨款安排使用情况等。</w:t>
      </w:r>
    </w:p>
    <w:p>
      <w:pPr>
        <w:pStyle w:val="2"/>
        <w:spacing w:before="185" w:line="334" w:lineRule="auto"/>
        <w:ind w:right="263" w:firstLine="770"/>
        <w:rPr>
          <w:sz w:val="31"/>
          <w:szCs w:val="31"/>
        </w:rPr>
      </w:pPr>
      <w:r>
        <w:rPr>
          <w:spacing w:val="10"/>
          <w:sz w:val="31"/>
          <w:szCs w:val="31"/>
        </w:rPr>
        <w:t>(四)情况说明。包括预决算年度收支、</w:t>
      </w:r>
      <w:bookmarkStart w:id="0" w:name="_GoBack"/>
      <w:bookmarkEnd w:id="0"/>
      <w:r>
        <w:rPr>
          <w:spacing w:val="10"/>
          <w:sz w:val="31"/>
          <w:szCs w:val="31"/>
        </w:rPr>
        <w:t>运行经费、政</w:t>
      </w:r>
      <w:r>
        <w:rPr>
          <w:spacing w:val="12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府采购、“三公”经费、国有资产占有使用和项目支出绩效目标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5"/>
          <w:sz w:val="31"/>
          <w:szCs w:val="31"/>
        </w:rPr>
        <w:t>等情况说明。</w:t>
      </w:r>
    </w:p>
    <w:p>
      <w:pPr>
        <w:pStyle w:val="2"/>
        <w:spacing w:before="184" w:line="221" w:lineRule="auto"/>
        <w:ind w:left="770"/>
        <w:rPr>
          <w:sz w:val="31"/>
          <w:szCs w:val="31"/>
        </w:rPr>
      </w:pPr>
      <w:r>
        <w:rPr>
          <w:spacing w:val="14"/>
          <w:sz w:val="31"/>
          <w:szCs w:val="31"/>
        </w:rPr>
        <w:t>(五)名词解释。对预决算相关专业名词进</w:t>
      </w:r>
      <w:r>
        <w:rPr>
          <w:spacing w:val="13"/>
          <w:sz w:val="31"/>
          <w:szCs w:val="31"/>
        </w:rPr>
        <w:t>行解释说明。</w:t>
      </w:r>
    </w:p>
    <w:p>
      <w:pPr>
        <w:pStyle w:val="2"/>
        <w:spacing w:before="226" w:line="572" w:lineRule="exact"/>
        <w:jc w:val="right"/>
        <w:rPr>
          <w:sz w:val="31"/>
          <w:szCs w:val="31"/>
        </w:rPr>
      </w:pPr>
      <w:r>
        <w:rPr>
          <w:rFonts w:ascii="SimHei" w:hAnsi="SimHei" w:eastAsia="SimHei" w:cs="SimHei"/>
          <w:b/>
          <w:bCs/>
          <w:spacing w:val="15"/>
          <w:position w:val="19"/>
          <w:sz w:val="31"/>
          <w:szCs w:val="31"/>
        </w:rPr>
        <w:t>第七条</w:t>
      </w:r>
      <w:r>
        <w:rPr>
          <w:rFonts w:ascii="SimHei" w:hAnsi="SimHei" w:eastAsia="SimHei" w:cs="SimHei"/>
          <w:spacing w:val="15"/>
          <w:position w:val="19"/>
          <w:sz w:val="31"/>
          <w:szCs w:val="31"/>
        </w:rPr>
        <w:t xml:space="preserve">  </w:t>
      </w:r>
      <w:r>
        <w:rPr>
          <w:spacing w:val="15"/>
          <w:position w:val="19"/>
          <w:sz w:val="31"/>
          <w:szCs w:val="31"/>
        </w:rPr>
        <w:t>部门预决算信息在市政府门户网</w:t>
      </w:r>
      <w:r>
        <w:rPr>
          <w:spacing w:val="14"/>
          <w:position w:val="19"/>
          <w:sz w:val="31"/>
          <w:szCs w:val="31"/>
        </w:rPr>
        <w:t>站“财政预决算”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7"/>
          <w:sz w:val="31"/>
          <w:szCs w:val="31"/>
        </w:rPr>
        <w:t>专栏同步公开，并保持长期公开状态，便于社会公众查询监督。</w:t>
      </w:r>
    </w:p>
    <w:p>
      <w:pPr>
        <w:pStyle w:val="2"/>
        <w:spacing w:before="189" w:line="575" w:lineRule="exact"/>
        <w:ind w:left="604"/>
        <w:rPr>
          <w:sz w:val="31"/>
          <w:szCs w:val="31"/>
        </w:rPr>
      </w:pPr>
      <w:r>
        <w:rPr>
          <w:rFonts w:ascii="SimHei" w:hAnsi="SimHei" w:eastAsia="SimHei" w:cs="SimHei"/>
          <w:b/>
          <w:bCs/>
          <w:spacing w:val="3"/>
          <w:position w:val="19"/>
          <w:sz w:val="31"/>
          <w:szCs w:val="31"/>
        </w:rPr>
        <w:t>第八条</w:t>
      </w:r>
      <w:r>
        <w:rPr>
          <w:rFonts w:ascii="SimHei" w:hAnsi="SimHei" w:eastAsia="SimHei" w:cs="SimHei"/>
          <w:spacing w:val="3"/>
          <w:position w:val="19"/>
          <w:sz w:val="31"/>
          <w:szCs w:val="31"/>
        </w:rPr>
        <w:t xml:space="preserve">  </w:t>
      </w:r>
      <w:r>
        <w:rPr>
          <w:spacing w:val="3"/>
          <w:position w:val="19"/>
          <w:sz w:val="31"/>
          <w:szCs w:val="31"/>
        </w:rPr>
        <w:t>经市财政局批复的部门预决算及报表，应</w:t>
      </w:r>
      <w:r>
        <w:rPr>
          <w:spacing w:val="2"/>
          <w:position w:val="19"/>
          <w:sz w:val="31"/>
          <w:szCs w:val="31"/>
        </w:rPr>
        <w:t>当在批复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6"/>
          <w:sz w:val="31"/>
          <w:szCs w:val="31"/>
        </w:rPr>
        <w:t>后20日内公开。</w:t>
      </w:r>
    </w:p>
    <w:p>
      <w:pPr>
        <w:pStyle w:val="2"/>
        <w:spacing w:before="193" w:line="221" w:lineRule="auto"/>
        <w:ind w:left="604"/>
        <w:rPr>
          <w:sz w:val="31"/>
          <w:szCs w:val="31"/>
        </w:rPr>
      </w:pPr>
      <w:r>
        <w:rPr>
          <w:rFonts w:ascii="SimHei" w:hAnsi="SimHei" w:eastAsia="SimHei" w:cs="SimHei"/>
          <w:b/>
          <w:bCs/>
          <w:spacing w:val="5"/>
          <w:sz w:val="31"/>
          <w:szCs w:val="31"/>
        </w:rPr>
        <w:t>第九条</w:t>
      </w:r>
      <w:r>
        <w:rPr>
          <w:rFonts w:ascii="SimHei" w:hAnsi="SimHei" w:eastAsia="SimHei" w:cs="SimHei"/>
          <w:spacing w:val="2"/>
          <w:sz w:val="31"/>
          <w:szCs w:val="31"/>
        </w:rPr>
        <w:t xml:space="preserve">  </w:t>
      </w:r>
      <w:r>
        <w:rPr>
          <w:spacing w:val="5"/>
          <w:sz w:val="31"/>
          <w:szCs w:val="31"/>
        </w:rPr>
        <w:t>本办法自印发之日起实行。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89" w:line="222" w:lineRule="auto"/>
        <w:ind w:left="5470"/>
        <w:rPr>
          <w:sz w:val="31"/>
          <w:szCs w:val="31"/>
        </w:rPr>
      </w:pPr>
    </w:p>
    <w:sectPr>
      <w:pgSz w:w="12130" w:h="17140"/>
      <w:pgMar w:top="1456" w:right="1437" w:bottom="0" w:left="1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EDB67FA5"/>
    <w:rsid w:val="FF9EC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3"/>
      <w:szCs w:val="3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2024-01-30T00:53:00Z</dcterms:created>
  <dc:creator>Kingsoft-PDF</dc:creator>
  <cp:lastModifiedBy>user</cp:lastModifiedBy>
  <dcterms:modified xsi:type="dcterms:W3CDTF">2024-01-25T23:01:17Z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2024-01-29T16:53:49Z</vt:filetime>
  </property>
  <property fmtid="{D5CDD505-2E9C-101B-9397-08002B2CF9AE}" pid="4" name="UsrData">
    <vt:lpwstr>65b7679a5c5206001fc095e5wl</vt:lpwstr>
  </property>
  <property fmtid="{D5CDD505-2E9C-101B-9397-08002B2CF9AE}" pid="5" name="KSOProductBuildVer">
    <vt:lpwstr>2052-11.8.2.10125</vt:lpwstr>
  </property>
</Properties>
</file>