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default" w:ascii="Calibri" w:hAnsi="Calibri" w:cs="Calibri"/>
          <w:color w:val="auto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highlight w:val="none"/>
        </w:rPr>
        <w:t>铁岭市基本医疗保险高值药品使用备案表</w:t>
      </w:r>
      <w:bookmarkEnd w:id="0"/>
    </w:p>
    <w:tbl>
      <w:tblPr>
        <w:tblStyle w:val="4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2"/>
        <w:gridCol w:w="1423"/>
        <w:gridCol w:w="1033"/>
        <w:gridCol w:w="1378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姓   名</w:t>
            </w:r>
          </w:p>
        </w:tc>
        <w:tc>
          <w:tcPr>
            <w:tcW w:w="14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性  别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参保类型</w:t>
            </w:r>
          </w:p>
        </w:tc>
        <w:tc>
          <w:tcPr>
            <w:tcW w:w="2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病史简介、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临床诊断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医疗机构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申请高值药品名称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申请人签字（监护人）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高值药品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指定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责任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医师意见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Calibri" w:eastAsia="宋体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高值药品使用方案及总量：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医院医保科审核意见</w:t>
            </w: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当前方案起止时间：    年  月  日至 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已使用量：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u w:val="single"/>
              </w:rPr>
              <w:t>         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本次外购药量：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u w:val="single"/>
              </w:rPr>
              <w:t>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eastAsia="仿宋_GB2312" w:cs="Calibri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指定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责任医师签字：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2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3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审核人（签字）：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38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  <w:highlight w:val="none"/>
              </w:rPr>
              <w:t>医院医保科盖章：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3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备注：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说明：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此表一式四份，参保患者留存一份，定点医疗机构医保科留存一份，医保经办机构留存一份，定点药店留存一份。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参保患者在门诊或住院期间使用高值药品，凭高值药品指定医师出具的处方到供药单位直接划卡结算，不能直接划卡结算的以现金方式购买，凭相关材料到医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保经办机构办理报销事宜。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高值药使用条件的诊断文书，包括须含所使用高值药限定条件中的诊断证明、影像报告、病理诊断、免疫组化报告、特殊化验指标结果报告单（其中使用抗肿瘤靶向药物的患者，以基因检测结果为指征的，应提交具备基因检测技术资质医疗机构出具的基因检测报告结果，以上资料须加盖病案或诊断管理专用印章）、门诊病历及出院小结等能够证明符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高值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药品使用条</w:t>
      </w:r>
      <w:r>
        <w:rPr>
          <w:rFonts w:hint="eastAsia" w:ascii="仿宋" w:hAnsi="仿宋" w:eastAsia="仿宋" w:cs="仿宋"/>
          <w:sz w:val="24"/>
          <w:szCs w:val="24"/>
        </w:rPr>
        <w:t>件的材料：</w:t>
      </w:r>
    </w:p>
    <w:p>
      <w:pPr>
        <w:bidi w:val="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符合下列情形的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医保基金不予支付：</w:t>
      </w:r>
    </w:p>
    <w:p>
      <w:pPr>
        <w:bidi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参保人员在高值药品纳入医保基金支付范围执行之日前发生的费用；</w:t>
      </w:r>
    </w:p>
    <w:p>
      <w:pPr>
        <w:bidi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参保人员在非高值药品定点医药机构就诊购药或未经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指定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责任医师审核并开具处方所发生的费用；</w:t>
      </w:r>
    </w:p>
    <w:p>
      <w:pPr>
        <w:bidi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3、超出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药品说明书使用范围发生的费用；</w:t>
      </w:r>
    </w:p>
    <w:p>
      <w:pPr>
        <w:bidi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超出高值药品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医保支付限制性条件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发生的费用；</w:t>
      </w:r>
    </w:p>
    <w:p>
      <w:pPr>
        <w:bidi w:val="0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超过高值药品规定用量的费用；</w:t>
      </w:r>
    </w:p>
    <w:p>
      <w:pPr>
        <w:bidi w:val="0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售卖“未授权”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高值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药品或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非报备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”高值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</w:rPr>
        <w:t>药品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发生的费用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</w:p>
    <w:p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法律、法规及医疗保险相关政策规定的其它事项。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457A36A7"/>
    <w:rsid w:val="457A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2023-08-01T00:56:00Z</dcterms:created>
  <dc:creator>Aquarius</dc:creator>
  <cp:lastModifiedBy>Aquarius</cp:lastModifiedBy>
  <dcterms:modified xsi:type="dcterms:W3CDTF">2023-08-01T00:57:16Z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49D040D2AB6344A1BD9FBC5D0C2DE1B5_11</vt:lpwstr>
  </property>
</Properties>
</file>