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kern w:val="0"/>
          <w:sz w:val="30"/>
          <w:szCs w:val="30"/>
        </w:rPr>
      </w:pPr>
    </w:p>
    <w:p>
      <w:pPr>
        <w:jc w:val="center"/>
        <w:rPr>
          <w:rFonts w:ascii="仿宋" w:hAnsi="仿宋" w:eastAsia="仿宋"/>
          <w:b/>
          <w:kern w:val="0"/>
          <w:sz w:val="30"/>
          <w:szCs w:val="30"/>
        </w:rPr>
      </w:pPr>
    </w:p>
    <w:p>
      <w:pPr>
        <w:jc w:val="center"/>
        <w:rPr>
          <w:rFonts w:ascii="仿宋" w:hAnsi="仿宋" w:eastAsia="仿宋"/>
          <w:b/>
          <w:kern w:val="0"/>
          <w:sz w:val="30"/>
          <w:szCs w:val="30"/>
        </w:rPr>
      </w:pPr>
    </w:p>
    <w:p>
      <w:pPr>
        <w:spacing w:line="1100" w:lineRule="exact"/>
        <w:jc w:val="center"/>
        <w:rPr>
          <w:rFonts w:ascii="宋体" w:hAnsi="宋体"/>
          <w:kern w:val="0"/>
          <w:sz w:val="48"/>
          <w:szCs w:val="48"/>
        </w:rPr>
      </w:pPr>
      <w:bookmarkStart w:id="0" w:name="OLE_LINK83"/>
      <w:bookmarkStart w:id="1" w:name="OLE_LINK82"/>
      <w:bookmarkStart w:id="2" w:name="OLE_LINK59"/>
      <w:bookmarkStart w:id="3" w:name="OLE_LINK58"/>
      <w:r>
        <w:rPr>
          <w:rFonts w:hint="eastAsia" w:ascii="宋体" w:hAnsi="宋体"/>
          <w:bCs/>
          <w:kern w:val="0"/>
          <w:sz w:val="48"/>
          <w:szCs w:val="48"/>
        </w:rPr>
        <w:t>调兵山市硅灰石井巷矿</w:t>
      </w:r>
      <w:bookmarkEnd w:id="0"/>
      <w:bookmarkEnd w:id="1"/>
      <w:bookmarkStart w:id="4" w:name="OLE_LINK34"/>
      <w:bookmarkStart w:id="5" w:name="OLE_LINK33"/>
      <w:r>
        <w:rPr>
          <w:rFonts w:hint="eastAsia" w:ascii="宋体" w:hAnsi="宋体"/>
          <w:bCs/>
          <w:kern w:val="0"/>
          <w:sz w:val="48"/>
          <w:szCs w:val="48"/>
        </w:rPr>
        <w:t>(硅灰石)</w:t>
      </w:r>
      <w:bookmarkEnd w:id="2"/>
      <w:bookmarkEnd w:id="3"/>
      <w:bookmarkEnd w:id="4"/>
      <w:bookmarkEnd w:id="5"/>
    </w:p>
    <w:p>
      <w:pPr>
        <w:spacing w:line="1100" w:lineRule="exact"/>
        <w:jc w:val="center"/>
        <w:rPr>
          <w:rFonts w:ascii="华文中宋" w:hAnsi="华文中宋" w:eastAsia="华文中宋"/>
          <w:sz w:val="52"/>
          <w:szCs w:val="52"/>
        </w:rPr>
      </w:pPr>
      <w:r>
        <w:rPr>
          <w:rFonts w:hint="eastAsia" w:ascii="黑体" w:hAnsi="黑体" w:eastAsia="黑体"/>
          <w:sz w:val="52"/>
          <w:szCs w:val="52"/>
        </w:rPr>
        <w:t>矿产资源开发利用方案</w:t>
      </w:r>
    </w:p>
    <w:p>
      <w:pPr>
        <w:spacing w:before="156" w:beforeLines="50"/>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仿宋" w:hAnsi="仿宋" w:eastAsia="仿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宋体" w:hAnsi="宋体"/>
          <w:spacing w:val="10"/>
          <w:sz w:val="44"/>
          <w:szCs w:val="44"/>
        </w:rPr>
      </w:pPr>
      <w:r>
        <w:rPr>
          <w:rFonts w:hint="eastAsia" w:ascii="宋体" w:hAnsi="宋体"/>
          <w:spacing w:val="10"/>
          <w:sz w:val="44"/>
          <w:szCs w:val="44"/>
        </w:rPr>
        <w:t>调兵山市硅灰石井巷矿</w:t>
      </w:r>
    </w:p>
    <w:p>
      <w:pPr>
        <w:jc w:val="center"/>
        <w:rPr>
          <w:rFonts w:ascii="宋体" w:hAnsi="宋体"/>
          <w:sz w:val="44"/>
          <w:szCs w:val="44"/>
        </w:rPr>
      </w:pPr>
      <w:r>
        <w:rPr>
          <w:rFonts w:hint="eastAsia" w:ascii="宋体" w:hAnsi="宋体"/>
          <w:sz w:val="44"/>
          <w:szCs w:val="44"/>
        </w:rPr>
        <w:t>2024年12月</w:t>
      </w:r>
    </w:p>
    <w:p>
      <w:pPr>
        <w:pStyle w:val="36"/>
      </w:pPr>
    </w:p>
    <w:p>
      <w:pPr>
        <w:jc w:val="center"/>
        <w:rPr>
          <w:rFonts w:ascii="仿宋" w:hAnsi="仿宋" w:eastAsia="仿宋"/>
          <w:b/>
          <w:kern w:val="0"/>
          <w:sz w:val="44"/>
          <w:szCs w:val="48"/>
        </w:rPr>
      </w:pPr>
    </w:p>
    <w:p>
      <w:pPr>
        <w:jc w:val="center"/>
        <w:rPr>
          <w:rFonts w:ascii="仿宋" w:hAnsi="仿宋" w:eastAsia="仿宋"/>
          <w:b/>
          <w:kern w:val="0"/>
          <w:sz w:val="44"/>
          <w:szCs w:val="48"/>
        </w:rPr>
      </w:pPr>
    </w:p>
    <w:p>
      <w:pPr>
        <w:spacing w:line="1100" w:lineRule="exact"/>
        <w:jc w:val="center"/>
        <w:rPr>
          <w:rFonts w:ascii="宋体" w:hAnsi="宋体"/>
          <w:bCs/>
          <w:kern w:val="0"/>
          <w:sz w:val="48"/>
          <w:szCs w:val="48"/>
        </w:rPr>
      </w:pPr>
    </w:p>
    <w:p>
      <w:pPr>
        <w:spacing w:line="1100" w:lineRule="exact"/>
        <w:jc w:val="center"/>
        <w:rPr>
          <w:rFonts w:ascii="宋体" w:hAnsi="宋体"/>
          <w:kern w:val="0"/>
          <w:sz w:val="48"/>
          <w:szCs w:val="48"/>
        </w:rPr>
      </w:pPr>
      <w:bookmarkStart w:id="6" w:name="OLE_LINK295"/>
      <w:bookmarkStart w:id="7" w:name="OLE_LINK300"/>
      <w:bookmarkStart w:id="8" w:name="OLE_LINK294"/>
      <w:bookmarkStart w:id="9" w:name="OLE_LINK301"/>
      <w:r>
        <w:rPr>
          <w:rFonts w:hint="eastAsia" w:ascii="宋体" w:hAnsi="宋体"/>
          <w:bCs/>
          <w:kern w:val="0"/>
          <w:sz w:val="48"/>
          <w:szCs w:val="48"/>
        </w:rPr>
        <w:t>调兵山市硅灰石井巷矿</w:t>
      </w:r>
      <w:bookmarkStart w:id="10" w:name="OLE_LINK279"/>
      <w:bookmarkStart w:id="11" w:name="OLE_LINK280"/>
      <w:r>
        <w:rPr>
          <w:rFonts w:hint="eastAsia" w:ascii="宋体" w:hAnsi="宋体"/>
          <w:bCs/>
          <w:kern w:val="0"/>
          <w:sz w:val="48"/>
          <w:szCs w:val="48"/>
        </w:rPr>
        <w:t>(硅灰石)</w:t>
      </w:r>
      <w:bookmarkEnd w:id="6"/>
      <w:bookmarkEnd w:id="7"/>
      <w:bookmarkEnd w:id="8"/>
      <w:bookmarkEnd w:id="9"/>
      <w:bookmarkEnd w:id="10"/>
      <w:bookmarkEnd w:id="11"/>
    </w:p>
    <w:p>
      <w:pPr>
        <w:spacing w:line="1100" w:lineRule="exact"/>
        <w:jc w:val="center"/>
        <w:rPr>
          <w:rFonts w:ascii="黑体" w:hAnsi="黑体" w:eastAsia="黑体" w:cs="宋体"/>
          <w:kern w:val="0"/>
          <w:sz w:val="52"/>
          <w:szCs w:val="52"/>
        </w:rPr>
      </w:pPr>
      <w:r>
        <w:rPr>
          <w:rFonts w:hint="eastAsia" w:ascii="黑体" w:hAnsi="黑体" w:eastAsia="黑体"/>
          <w:sz w:val="52"/>
          <w:szCs w:val="52"/>
        </w:rPr>
        <w:t>矿产资源开发利用方案</w:t>
      </w:r>
    </w:p>
    <w:p>
      <w:pPr>
        <w:jc w:val="center"/>
        <w:rPr>
          <w:rFonts w:ascii="宋体" w:hAnsi="宋体" w:cs="宋体"/>
          <w:bCs/>
          <w:sz w:val="28"/>
          <w:szCs w:val="28"/>
        </w:rPr>
      </w:pPr>
    </w:p>
    <w:p>
      <w:pPr>
        <w:jc w:val="center"/>
        <w:rPr>
          <w:rFonts w:ascii="宋体" w:hAnsi="宋体" w:cs="宋体"/>
          <w:bCs/>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firstLine="680" w:firstLineChars="200"/>
        <w:rPr>
          <w:rFonts w:ascii="宋体" w:hAnsi="宋体"/>
          <w:spacing w:val="10"/>
          <w:sz w:val="32"/>
          <w:szCs w:val="32"/>
        </w:rPr>
      </w:pPr>
      <w:r>
        <w:rPr>
          <w:rFonts w:hint="eastAsia" w:ascii="宋体" w:hAnsi="宋体"/>
          <w:spacing w:val="10"/>
          <w:sz w:val="32"/>
          <w:szCs w:val="32"/>
        </w:rPr>
        <w:t>矿业权人：</w:t>
      </w:r>
      <w:bookmarkStart w:id="12" w:name="OLE_LINK296"/>
      <w:bookmarkStart w:id="13" w:name="OLE_LINK297"/>
      <w:r>
        <w:rPr>
          <w:rFonts w:hint="eastAsia" w:ascii="宋体" w:hAnsi="宋体"/>
          <w:spacing w:val="10"/>
          <w:sz w:val="32"/>
          <w:szCs w:val="32"/>
        </w:rPr>
        <w:t>调兵山市硅灰石井巷矿</w:t>
      </w:r>
      <w:bookmarkEnd w:id="12"/>
      <w:bookmarkEnd w:id="13"/>
    </w:p>
    <w:p>
      <w:pPr>
        <w:ind w:firstLine="680" w:firstLineChars="200"/>
        <w:rPr>
          <w:rFonts w:ascii="宋体" w:hAnsi="宋体"/>
          <w:spacing w:val="10"/>
          <w:sz w:val="32"/>
          <w:szCs w:val="32"/>
        </w:rPr>
      </w:pPr>
      <w:r>
        <w:rPr>
          <w:rFonts w:hint="eastAsia" w:ascii="宋体" w:hAnsi="宋体"/>
          <w:spacing w:val="10"/>
          <w:sz w:val="32"/>
          <w:szCs w:val="32"/>
        </w:rPr>
        <w:t>法定代表人：</w:t>
      </w:r>
      <w:bookmarkStart w:id="14" w:name="OLE_LINK298"/>
      <w:bookmarkStart w:id="15" w:name="OLE_LINK299"/>
      <w:r>
        <w:rPr>
          <w:rFonts w:hint="eastAsia" w:ascii="宋体" w:hAnsi="宋体"/>
          <w:spacing w:val="10"/>
          <w:sz w:val="32"/>
          <w:szCs w:val="32"/>
        </w:rPr>
        <w:t>李春发</w:t>
      </w:r>
      <w:bookmarkEnd w:id="14"/>
      <w:bookmarkEnd w:id="15"/>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firstLine="680" w:firstLineChars="200"/>
        <w:rPr>
          <w:rFonts w:ascii="宋体" w:hAnsi="宋体"/>
          <w:spacing w:val="10"/>
          <w:sz w:val="32"/>
          <w:szCs w:val="32"/>
        </w:rPr>
      </w:pPr>
      <w:r>
        <w:rPr>
          <w:rFonts w:hint="eastAsia" w:ascii="宋体" w:hAnsi="宋体"/>
          <w:spacing w:val="10"/>
          <w:sz w:val="32"/>
          <w:szCs w:val="32"/>
        </w:rPr>
        <w:t>编制单位：沈阳锦鸿矿山工程技术有限公司</w:t>
      </w:r>
    </w:p>
    <w:p>
      <w:pPr>
        <w:ind w:firstLine="680" w:firstLineChars="200"/>
        <w:rPr>
          <w:rFonts w:ascii="宋体" w:hAnsi="宋体"/>
          <w:sz w:val="32"/>
          <w:szCs w:val="32"/>
        </w:rPr>
      </w:pPr>
      <w:r>
        <w:rPr>
          <w:rFonts w:hint="eastAsia" w:ascii="宋体" w:hAnsi="宋体"/>
          <w:spacing w:val="10"/>
          <w:sz w:val="32"/>
          <w:szCs w:val="32"/>
        </w:rPr>
        <w:t>法定代表人：万小军</w:t>
      </w:r>
    </w:p>
    <w:p>
      <w:pPr>
        <w:ind w:firstLine="688" w:firstLineChars="200"/>
        <w:rPr>
          <w:rFonts w:ascii="宋体" w:hAnsi="宋体"/>
          <w:spacing w:val="12"/>
          <w:sz w:val="32"/>
          <w:szCs w:val="32"/>
        </w:rPr>
      </w:pPr>
      <w:r>
        <w:rPr>
          <w:rFonts w:hint="eastAsia" w:ascii="宋体" w:hAnsi="宋体"/>
          <w:spacing w:val="12"/>
          <w:sz w:val="32"/>
          <w:szCs w:val="32"/>
        </w:rPr>
        <w:t>总工程师</w:t>
      </w:r>
      <w:r>
        <w:rPr>
          <w:rFonts w:hint="eastAsia" w:ascii="宋体" w:hAnsi="宋体"/>
          <w:spacing w:val="10"/>
          <w:sz w:val="32"/>
          <w:szCs w:val="32"/>
        </w:rPr>
        <w:t>：王丽娜</w:t>
      </w:r>
    </w:p>
    <w:p>
      <w:pPr>
        <w:ind w:firstLine="688" w:firstLineChars="200"/>
        <w:rPr>
          <w:rFonts w:ascii="仿宋" w:hAnsi="仿宋" w:eastAsia="仿宋"/>
          <w:b/>
          <w:kern w:val="0"/>
          <w:sz w:val="44"/>
          <w:szCs w:val="48"/>
        </w:rPr>
      </w:pPr>
      <w:r>
        <w:rPr>
          <w:rFonts w:hint="eastAsia" w:ascii="宋体" w:hAnsi="宋体"/>
          <w:spacing w:val="12"/>
          <w:sz w:val="32"/>
          <w:szCs w:val="32"/>
        </w:rPr>
        <w:t>项目负责人：</w:t>
      </w:r>
      <w:r>
        <w:rPr>
          <w:rFonts w:hint="eastAsia" w:ascii="宋体" w:hAnsi="宋体"/>
          <w:spacing w:val="10"/>
          <w:sz w:val="32"/>
          <w:szCs w:val="32"/>
        </w:rPr>
        <w:t>王丽娜</w:t>
      </w:r>
    </w:p>
    <w:p>
      <w:pPr>
        <w:rPr>
          <w:rFonts w:ascii="宋体" w:hAnsi="宋体"/>
        </w:rPr>
        <w:sectPr>
          <w:headerReference r:id="rId3" w:type="default"/>
          <w:footerReference r:id="rId4" w:type="default"/>
          <w:footerReference r:id="rId5" w:type="even"/>
          <w:pgSz w:w="11906" w:h="16838"/>
          <w:pgMar w:top="1440" w:right="1797" w:bottom="1440" w:left="1622" w:header="851" w:footer="992" w:gutter="0"/>
          <w:cols w:space="720" w:num="1"/>
          <w:docGrid w:type="lines" w:linePitch="312" w:charSpace="0"/>
        </w:sectPr>
      </w:pPr>
    </w:p>
    <w:p>
      <w:pPr>
        <w:spacing w:line="360" w:lineRule="auto"/>
        <w:jc w:val="center"/>
        <w:rPr>
          <w:rFonts w:ascii="方正小标宋简体" w:hAnsi="黑体" w:eastAsia="方正小标宋简体"/>
          <w:sz w:val="28"/>
          <w:szCs w:val="28"/>
        </w:rPr>
      </w:pPr>
      <w:r>
        <w:rPr>
          <w:rFonts w:hint="eastAsia" w:ascii="方正小标宋简体" w:hAnsi="黑体" w:eastAsia="方正小标宋简体"/>
          <w:sz w:val="28"/>
          <w:szCs w:val="28"/>
        </w:rPr>
        <w:t>开发利用方案编写人员名单表</w:t>
      </w:r>
    </w:p>
    <w:tbl>
      <w:tblPr>
        <w:tblStyle w:val="5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559"/>
        <w:gridCol w:w="1843"/>
        <w:gridCol w:w="2126"/>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316" w:type="dxa"/>
            <w:gridSpan w:val="5"/>
          </w:tcPr>
          <w:p>
            <w:pPr>
              <w:spacing w:line="223" w:lineRule="auto"/>
              <w:jc w:val="center"/>
              <w:rPr>
                <w:rFonts w:ascii="黑体" w:hAnsi="黑体" w:eastAsia="黑体" w:cs="宋体"/>
                <w:snapToGrid w:val="0"/>
                <w:sz w:val="28"/>
                <w:szCs w:val="28"/>
              </w:rPr>
            </w:pPr>
            <w:r>
              <w:rPr>
                <w:rFonts w:hint="eastAsia" w:ascii="黑体" w:hAnsi="黑体" w:eastAsia="黑体" w:cs="宋体"/>
                <w:snapToGrid w:val="0"/>
                <w:sz w:val="28"/>
                <w:szCs w:val="28"/>
              </w:rPr>
              <w:t>方案负责人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姓名</w:t>
            </w:r>
          </w:p>
        </w:tc>
        <w:tc>
          <w:tcPr>
            <w:tcW w:w="1559" w:type="dxa"/>
            <w:vAlign w:val="center"/>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职务</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专业</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技术职称</w:t>
            </w:r>
          </w:p>
        </w:tc>
        <w:tc>
          <w:tcPr>
            <w:tcW w:w="1365" w:type="dxa"/>
            <w:vAlign w:val="center"/>
          </w:tcPr>
          <w:p>
            <w:pPr>
              <w:spacing w:line="223" w:lineRule="auto"/>
              <w:jc w:val="center"/>
              <w:rPr>
                <w:rFonts w:ascii="黑体" w:hAnsi="黑体" w:eastAsia="黑体" w:cs="宋体"/>
                <w:bCs/>
                <w:snapToGrid w:val="0"/>
                <w:spacing w:val="17"/>
                <w:sz w:val="28"/>
                <w:szCs w:val="28"/>
              </w:rPr>
            </w:pPr>
            <w:r>
              <w:rPr>
                <w:rFonts w:hint="eastAsia" w:ascii="黑体" w:hAnsi="黑体" w:eastAsia="黑体" w:cs="宋体"/>
                <w:bCs/>
                <w:snapToGrid w:val="0"/>
                <w:spacing w:val="17"/>
                <w:sz w:val="28"/>
                <w:szCs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王丽娜</w:t>
            </w:r>
          </w:p>
        </w:tc>
        <w:tc>
          <w:tcPr>
            <w:tcW w:w="1559" w:type="dxa"/>
            <w:vAlign w:val="center"/>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技术员</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采矿工程</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spacing w:line="223" w:lineRule="auto"/>
              <w:jc w:val="center"/>
              <w:rPr>
                <w:rFonts w:ascii="黑体" w:hAnsi="黑体" w:eastAsia="黑体" w:cs="宋体"/>
                <w:bCs/>
                <w:snapToGrid w:val="0"/>
                <w:spacing w:val="17"/>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316" w:type="dxa"/>
            <w:gridSpan w:val="5"/>
          </w:tcPr>
          <w:p>
            <w:pPr>
              <w:spacing w:line="223" w:lineRule="auto"/>
              <w:jc w:val="center"/>
              <w:rPr>
                <w:rFonts w:ascii="黑体" w:hAnsi="黑体" w:eastAsia="黑体" w:cs="宋体"/>
                <w:bCs/>
                <w:snapToGrid w:val="0"/>
                <w:spacing w:val="17"/>
                <w:sz w:val="28"/>
                <w:szCs w:val="28"/>
              </w:rPr>
            </w:pPr>
            <w:r>
              <w:rPr>
                <w:rFonts w:hint="eastAsia" w:ascii="黑体" w:hAnsi="黑体" w:eastAsia="黑体" w:cs="宋体"/>
                <w:bCs/>
                <w:snapToGrid w:val="0"/>
                <w:spacing w:val="17"/>
                <w:sz w:val="28"/>
                <w:szCs w:val="28"/>
              </w:rPr>
              <w:t>方案主要编写人员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序号</w:t>
            </w:r>
          </w:p>
        </w:tc>
        <w:tc>
          <w:tcPr>
            <w:tcW w:w="1559" w:type="dxa"/>
            <w:vAlign w:val="center"/>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编写人</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专业</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技术职称</w:t>
            </w:r>
          </w:p>
        </w:tc>
        <w:tc>
          <w:tcPr>
            <w:tcW w:w="1365" w:type="dxa"/>
            <w:vAlign w:val="center"/>
          </w:tcPr>
          <w:p>
            <w:pPr>
              <w:spacing w:line="223" w:lineRule="auto"/>
              <w:jc w:val="center"/>
              <w:rPr>
                <w:rFonts w:ascii="黑体" w:hAnsi="黑体" w:eastAsia="黑体" w:cs="宋体"/>
                <w:bCs/>
                <w:snapToGrid w:val="0"/>
                <w:spacing w:val="17"/>
                <w:sz w:val="28"/>
                <w:szCs w:val="28"/>
              </w:rPr>
            </w:pPr>
            <w:r>
              <w:rPr>
                <w:rFonts w:hint="eastAsia" w:ascii="黑体" w:hAnsi="黑体" w:eastAsia="黑体" w:cs="宋体"/>
                <w:bCs/>
                <w:snapToGrid w:val="0"/>
                <w:spacing w:val="17"/>
                <w:sz w:val="28"/>
                <w:szCs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1</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王彬彬</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采矿工程</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2</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王丽娜</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采矿工程</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3</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吕 琎</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地  质</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4</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韩 健</w:t>
            </w:r>
          </w:p>
        </w:tc>
        <w:tc>
          <w:tcPr>
            <w:tcW w:w="1843"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安  全</w:t>
            </w:r>
          </w:p>
        </w:tc>
        <w:tc>
          <w:tcPr>
            <w:tcW w:w="2126"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注册安全工程师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5</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刘国胜</w:t>
            </w:r>
          </w:p>
        </w:tc>
        <w:tc>
          <w:tcPr>
            <w:tcW w:w="1843"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投  资</w:t>
            </w:r>
          </w:p>
        </w:tc>
        <w:tc>
          <w:tcPr>
            <w:tcW w:w="2126"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经济师</w:t>
            </w:r>
          </w:p>
        </w:tc>
        <w:tc>
          <w:tcPr>
            <w:tcW w:w="1365" w:type="dxa"/>
            <w:vAlign w:val="center"/>
          </w:tcPr>
          <w:p>
            <w:pPr>
              <w:jc w:val="center"/>
              <w:rPr>
                <w:rFonts w:ascii="黑体" w:hAnsi="黑体" w:eastAsia="黑体" w:cs="Arial"/>
                <w:snapToGrid w:val="0"/>
                <w:sz w:val="28"/>
                <w:szCs w:val="28"/>
              </w:rPr>
            </w:pPr>
          </w:p>
        </w:tc>
      </w:tr>
    </w:tbl>
    <w:p>
      <w:pPr>
        <w:ind w:firstLine="680" w:firstLineChars="200"/>
        <w:rPr>
          <w:rFonts w:ascii="宋体" w:hAnsi="宋体"/>
          <w:spacing w:val="10"/>
          <w:sz w:val="32"/>
          <w:szCs w:val="32"/>
        </w:rPr>
      </w:pPr>
    </w:p>
    <w:p>
      <w:pPr>
        <w:rPr>
          <w:rFonts w:ascii="宋体" w:hAnsi="宋体"/>
        </w:rPr>
        <w:sectPr>
          <w:pgSz w:w="11906" w:h="16838"/>
          <w:pgMar w:top="1440" w:right="1797" w:bottom="1440" w:left="1622" w:header="851" w:footer="992" w:gutter="0"/>
          <w:cols w:space="720" w:num="1"/>
          <w:docGrid w:type="lines" w:linePitch="312" w:charSpace="0"/>
        </w:sectPr>
      </w:pPr>
    </w:p>
    <w:p>
      <w:pPr>
        <w:rPr>
          <w:rFonts w:ascii="宋体" w:hAnsi="宋体"/>
        </w:rPr>
        <w:sectPr>
          <w:pgSz w:w="11906" w:h="16838"/>
          <w:pgMar w:top="1440" w:right="1797" w:bottom="1440" w:left="1622" w:header="851" w:footer="992" w:gutter="0"/>
          <w:cols w:space="720" w:num="1"/>
          <w:docGrid w:type="lines" w:linePitch="312" w:charSpace="0"/>
        </w:sectPr>
      </w:pPr>
      <w:r>
        <w:rPr>
          <w:rFonts w:ascii="宋体" w:hAnsi="宋体"/>
        </w:rPr>
        <w:drawing>
          <wp:anchor distT="0" distB="0" distL="114300" distR="114300" simplePos="0" relativeHeight="251659264" behindDoc="1" locked="0" layoutInCell="1" allowOverlap="1">
            <wp:simplePos x="0" y="0"/>
            <wp:positionH relativeFrom="column">
              <wp:posOffset>-914400</wp:posOffset>
            </wp:positionH>
            <wp:positionV relativeFrom="paragraph">
              <wp:posOffset>-833755</wp:posOffset>
            </wp:positionV>
            <wp:extent cx="7339965" cy="10553700"/>
            <wp:effectExtent l="0" t="0" r="0" b="0"/>
            <wp:wrapNone/>
            <wp:docPr id="1" name="图片 1" descr="锦鸿新营业执照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锦鸿新营业执照副本"/>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7339965" cy="10553700"/>
                    </a:xfrm>
                    <a:prstGeom prst="rect">
                      <a:avLst/>
                    </a:prstGeom>
                    <a:noFill/>
                    <a:ln>
                      <a:noFill/>
                    </a:ln>
                  </pic:spPr>
                </pic:pic>
              </a:graphicData>
            </a:graphic>
          </wp:anchor>
        </w:drawing>
      </w:r>
    </w:p>
    <w:p>
      <w:pPr>
        <w:rPr>
          <w:rFonts w:ascii="宋体" w:hAnsi="宋体"/>
        </w:rPr>
        <w:sectPr>
          <w:pgSz w:w="11906" w:h="16838"/>
          <w:pgMar w:top="1440" w:right="1797" w:bottom="1440" w:left="1622" w:header="851" w:footer="992" w:gutter="0"/>
          <w:cols w:space="720" w:num="1"/>
          <w:docGrid w:type="lines" w:linePitch="312" w:charSpace="0"/>
        </w:sectPr>
      </w:pPr>
      <w:r>
        <w:drawing>
          <wp:anchor distT="0" distB="0" distL="114300" distR="114300" simplePos="0" relativeHeight="251803648" behindDoc="1" locked="0" layoutInCell="1" allowOverlap="1">
            <wp:simplePos x="0" y="0"/>
            <wp:positionH relativeFrom="column">
              <wp:posOffset>-949960</wp:posOffset>
            </wp:positionH>
            <wp:positionV relativeFrom="paragraph">
              <wp:posOffset>-858520</wp:posOffset>
            </wp:positionV>
            <wp:extent cx="7426325" cy="10336530"/>
            <wp:effectExtent l="0" t="0" r="3175" b="7620"/>
            <wp:wrapNone/>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20">
                      <a:extLst>
                        <a:ext uri="{28A0092B-C50C-407E-A947-70E740481C1C}">
                          <a14:useLocalDpi xmlns:a14="http://schemas.microsoft.com/office/drawing/2010/main" val="false"/>
                        </a:ext>
                      </a:extLst>
                    </a:blip>
                    <a:stretch>
                      <a:fillRect/>
                    </a:stretch>
                  </pic:blipFill>
                  <pic:spPr>
                    <a:xfrm>
                      <a:off x="0" y="0"/>
                      <a:ext cx="7429500" cy="10341107"/>
                    </a:xfrm>
                    <a:prstGeom prst="rect">
                      <a:avLst/>
                    </a:prstGeom>
                  </pic:spPr>
                </pic:pic>
              </a:graphicData>
            </a:graphic>
          </wp:anchor>
        </w:drawing>
      </w:r>
    </w:p>
    <w:p>
      <w:pPr>
        <w:spacing w:line="600" w:lineRule="exact"/>
        <w:jc w:val="center"/>
        <w:rPr>
          <w:rFonts w:ascii="黑体" w:hAnsi="黑体" w:eastAsia="黑体"/>
          <w:b/>
          <w:sz w:val="36"/>
          <w:szCs w:val="32"/>
        </w:rPr>
      </w:pPr>
      <w:r>
        <w:rPr>
          <w:rFonts w:hint="eastAsia" w:ascii="黑体" w:hAnsi="黑体" w:eastAsia="黑体"/>
          <w:b/>
          <w:sz w:val="36"/>
          <w:szCs w:val="32"/>
        </w:rPr>
        <w:t>目  录</w:t>
      </w:r>
    </w:p>
    <w:p>
      <w:pPr>
        <w:pStyle w:val="36"/>
        <w:rPr>
          <w:rFonts w:asciiTheme="minorHAnsi" w:hAnsiTheme="minorHAnsi" w:cstheme="minorBidi"/>
          <w:b w:val="0"/>
          <w:sz w:val="21"/>
          <w:szCs w:val="22"/>
        </w:rPr>
      </w:pPr>
      <w:r>
        <w:rPr>
          <w:szCs w:val="28"/>
        </w:rPr>
        <w:fldChar w:fldCharType="begin"/>
      </w:r>
      <w:r>
        <w:rPr>
          <w:szCs w:val="28"/>
        </w:rPr>
        <w:instrText xml:space="preserve"> TOC \o "1-2" \h \z \u </w:instrText>
      </w:r>
      <w:r>
        <w:rPr>
          <w:szCs w:val="28"/>
        </w:rPr>
        <w:fldChar w:fldCharType="separate"/>
      </w:r>
      <w:r>
        <w:fldChar w:fldCharType="begin"/>
      </w:r>
      <w:r>
        <w:instrText xml:space="preserve"> HYPERLINK \l "_Toc188453610" </w:instrText>
      </w:r>
      <w:r>
        <w:fldChar w:fldCharType="separate"/>
      </w:r>
      <w:r>
        <w:rPr>
          <w:rStyle w:val="63"/>
          <w:rFonts w:hint="eastAsia"/>
        </w:rPr>
        <w:t>前言</w:t>
      </w:r>
      <w:r>
        <w:tab/>
      </w:r>
      <w:r>
        <w:fldChar w:fldCharType="begin"/>
      </w:r>
      <w:r>
        <w:instrText xml:space="preserve"> PAGEREF _Toc188453610 \h </w:instrText>
      </w:r>
      <w:r>
        <w:fldChar w:fldCharType="separate"/>
      </w:r>
      <w:r>
        <w:t>1</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"_Toc188453611" </w:instrText>
      </w:r>
      <w:r>
        <w:fldChar w:fldCharType="separate"/>
      </w:r>
      <w:r>
        <w:rPr>
          <w:rStyle w:val="63"/>
          <w:rFonts w:hint="eastAsia"/>
        </w:rPr>
        <w:t>（一）编制目的</w:t>
      </w:r>
      <w:r>
        <w:tab/>
      </w:r>
      <w:r>
        <w:fldChar w:fldCharType="begin"/>
      </w:r>
      <w:r>
        <w:instrText xml:space="preserve"> PAGEREF _Toc188453611 \h </w:instrText>
      </w:r>
      <w:r>
        <w:fldChar w:fldCharType="separate"/>
      </w:r>
      <w:r>
        <w:t>1</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"_Toc188453612" </w:instrText>
      </w:r>
      <w:r>
        <w:fldChar w:fldCharType="separate"/>
      </w:r>
      <w:r>
        <w:rPr>
          <w:rStyle w:val="63"/>
          <w:rFonts w:hint="eastAsia"/>
        </w:rPr>
        <w:t>（二）编制依据</w:t>
      </w:r>
      <w:r>
        <w:tab/>
      </w:r>
      <w:r>
        <w:fldChar w:fldCharType="begin"/>
      </w:r>
      <w:r>
        <w:instrText xml:space="preserve"> PAGEREF _Toc188453612 \h </w:instrText>
      </w:r>
      <w:r>
        <w:fldChar w:fldCharType="separate"/>
      </w:r>
      <w:r>
        <w:t>1</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"_Toc188453613" </w:instrText>
      </w:r>
      <w:r>
        <w:fldChar w:fldCharType="separate"/>
      </w:r>
      <w:r>
        <w:rPr>
          <w:rStyle w:val="63"/>
          <w:rFonts w:hint="eastAsia"/>
        </w:rPr>
        <w:t>一、矿山基本情况</w:t>
      </w:r>
      <w:r>
        <w:tab/>
      </w:r>
      <w:r>
        <w:fldChar w:fldCharType="begin"/>
      </w:r>
      <w:r>
        <w:instrText xml:space="preserve"> PAGEREF _Toc188453613 \h </w:instrText>
      </w:r>
      <w:r>
        <w:fldChar w:fldCharType="separate"/>
      </w:r>
      <w:r>
        <w:t>7</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"_Toc188453614" </w:instrText>
      </w:r>
      <w:r>
        <w:fldChar w:fldCharType="separate"/>
      </w:r>
      <w:r>
        <w:rPr>
          <w:rStyle w:val="63"/>
          <w:rFonts w:hint="eastAsia"/>
        </w:rPr>
        <w:t>（一）地理位置与区域概况</w:t>
      </w:r>
      <w:r>
        <w:tab/>
      </w:r>
      <w:r>
        <w:fldChar w:fldCharType="begin"/>
      </w:r>
      <w:r>
        <w:instrText xml:space="preserve"> PAGEREF _Toc188453614 \h </w:instrText>
      </w:r>
      <w:r>
        <w:fldChar w:fldCharType="separate"/>
      </w:r>
      <w:r>
        <w:t>7</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"_Toc188453615" </w:instrText>
      </w:r>
      <w:r>
        <w:fldChar w:fldCharType="separate"/>
      </w:r>
      <w:r>
        <w:rPr>
          <w:rStyle w:val="63"/>
          <w:rFonts w:hint="eastAsia"/>
        </w:rPr>
        <w:t>（二）申请人基本情况</w:t>
      </w:r>
      <w:r>
        <w:tab/>
      </w:r>
      <w:r>
        <w:fldChar w:fldCharType="begin"/>
      </w:r>
      <w:r>
        <w:instrText xml:space="preserve"> PAGEREF _Toc188453615 \h </w:instrText>
      </w:r>
      <w:r>
        <w:fldChar w:fldCharType="separate"/>
      </w:r>
      <w:r>
        <w:t>14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"_Toc188453616" </w:instrText>
      </w:r>
      <w:r>
        <w:fldChar w:fldCharType="separate"/>
      </w:r>
      <w:r>
        <w:rPr>
          <w:rStyle w:val="63"/>
          <w:rFonts w:hint="eastAsia"/>
        </w:rPr>
        <w:t>（三）矿山勘查开采历史及现状</w:t>
      </w:r>
      <w:r>
        <w:tab/>
      </w:r>
      <w:r>
        <w:fldChar w:fldCharType="begin"/>
      </w:r>
      <w:r>
        <w:instrText xml:space="preserve"> PAGEREF _Toc188453616 \h </w:instrText>
      </w:r>
      <w:r>
        <w:fldChar w:fldCharType="separate"/>
      </w:r>
      <w:r>
        <w:t>14</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"_Toc188453617" </w:instrText>
      </w:r>
      <w:r>
        <w:fldChar w:fldCharType="separate"/>
      </w:r>
      <w:r>
        <w:rPr>
          <w:rStyle w:val="63"/>
          <w:rFonts w:hint="eastAsia"/>
        </w:rPr>
        <w:t>二、矿区地质与矿产资源情况</w:t>
      </w:r>
      <w:r>
        <w:tab/>
      </w:r>
      <w:r>
        <w:fldChar w:fldCharType="begin"/>
      </w:r>
      <w:r>
        <w:instrText xml:space="preserve"> PAGEREF _Toc188453617 \h </w:instrText>
      </w:r>
      <w:r>
        <w:fldChar w:fldCharType="separate"/>
      </w:r>
      <w:r>
        <w:t>24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"_Toc188453618" </w:instrText>
      </w:r>
      <w:r>
        <w:fldChar w:fldCharType="separate"/>
      </w:r>
      <w:r>
        <w:rPr>
          <w:rStyle w:val="63"/>
          <w:rFonts w:hint="eastAsia"/>
        </w:rPr>
        <w:t>（一）矿床地质与矿体特征</w:t>
      </w:r>
      <w:r>
        <w:tab/>
      </w:r>
      <w:r>
        <w:fldChar w:fldCharType="begin"/>
      </w:r>
      <w:r>
        <w:instrText xml:space="preserve"> PAGEREF _Toc188453618 \h </w:instrText>
      </w:r>
      <w:r>
        <w:fldChar w:fldCharType="separate"/>
      </w:r>
      <w:r>
        <w:t>24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"_Toc188453619" </w:instrText>
      </w:r>
      <w:r>
        <w:fldChar w:fldCharType="separate"/>
      </w:r>
      <w:r>
        <w:rPr>
          <w:rStyle w:val="63"/>
          <w:rFonts w:hint="eastAsia"/>
        </w:rPr>
        <w:t>（二）矿床开采地质条件</w:t>
      </w:r>
      <w:r>
        <w:tab/>
      </w:r>
      <w:r>
        <w:fldChar w:fldCharType="begin"/>
      </w:r>
      <w:r>
        <w:instrText xml:space="preserve"> PAGEREF _Toc188453619 \h </w:instrText>
      </w:r>
      <w:r>
        <w:fldChar w:fldCharType="separate"/>
      </w:r>
      <w:r>
        <w:t>31</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"_Toc188453620" </w:instrText>
      </w:r>
      <w:r>
        <w:fldChar w:fldCharType="separate"/>
      </w:r>
      <w:r>
        <w:rPr>
          <w:rStyle w:val="63"/>
          <w:rFonts w:hint="eastAsia"/>
        </w:rPr>
        <w:t>（三）矿产资源储量情况</w:t>
      </w:r>
      <w:r>
        <w:tab/>
      </w:r>
      <w:r>
        <w:fldChar w:fldCharType="begin"/>
      </w:r>
      <w:r>
        <w:instrText xml:space="preserve"> PAGEREF _Toc188453620 \h </w:instrText>
      </w:r>
      <w:r>
        <w:fldChar w:fldCharType="separate"/>
      </w:r>
      <w:r>
        <w:t>36</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"_Toc188453621" </w:instrText>
      </w:r>
      <w:r>
        <w:fldChar w:fldCharType="separate"/>
      </w:r>
      <w:r>
        <w:rPr>
          <w:rStyle w:val="63"/>
          <w:rFonts w:hint="eastAsia"/>
        </w:rPr>
        <w:t>三、矿区范围</w:t>
      </w:r>
      <w:r>
        <w:tab/>
      </w:r>
      <w:r>
        <w:fldChar w:fldCharType="begin"/>
      </w:r>
      <w:r>
        <w:instrText xml:space="preserve"> PAGEREF _Toc188453621 \h </w:instrText>
      </w:r>
      <w:r>
        <w:fldChar w:fldCharType="separate"/>
      </w:r>
      <w:r>
        <w:t>39</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"_Toc188453622" </w:instrText>
      </w:r>
      <w:r>
        <w:fldChar w:fldCharType="separate"/>
      </w:r>
      <w:r>
        <w:rPr>
          <w:rStyle w:val="63"/>
          <w:rFonts w:hint="eastAsia"/>
        </w:rPr>
        <w:t>（一）符合矿产资源规划情况</w:t>
      </w:r>
      <w:r>
        <w:tab/>
      </w:r>
      <w:r>
        <w:fldChar w:fldCharType="begin"/>
      </w:r>
      <w:r>
        <w:instrText xml:space="preserve"> PAGEREF _Toc188453622 \h </w:instrText>
      </w:r>
      <w:r>
        <w:fldChar w:fldCharType="separate"/>
      </w:r>
      <w:r>
        <w:t>39</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"_Toc188453623" </w:instrText>
      </w:r>
      <w:r>
        <w:fldChar w:fldCharType="separate"/>
      </w:r>
      <w:r>
        <w:rPr>
          <w:rStyle w:val="63"/>
          <w:rFonts w:hint="eastAsia"/>
        </w:rPr>
        <w:t>（二）可供开采矿产资源的范围</w:t>
      </w:r>
      <w:r>
        <w:tab/>
      </w:r>
      <w:r>
        <w:fldChar w:fldCharType="begin"/>
      </w:r>
      <w:r>
        <w:instrText xml:space="preserve"> PAGEREF _Toc188453623 \h </w:instrText>
      </w:r>
      <w:r>
        <w:fldChar w:fldCharType="separate"/>
      </w:r>
      <w:r>
        <w:t>39</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"_Toc188453624" </w:instrText>
      </w:r>
      <w:r>
        <w:fldChar w:fldCharType="separate"/>
      </w:r>
      <w:r>
        <w:rPr>
          <w:rStyle w:val="63"/>
          <w:rFonts w:hint="eastAsia"/>
        </w:rPr>
        <w:t>（三）井巷工程设施分布范围</w:t>
      </w:r>
      <w:r>
        <w:tab/>
      </w:r>
      <w:r>
        <w:fldChar w:fldCharType="begin"/>
      </w:r>
      <w:r>
        <w:instrText xml:space="preserve"> PAGEREF _Toc188453624 \h </w:instrText>
      </w:r>
      <w:r>
        <w:fldChar w:fldCharType="separate"/>
      </w:r>
      <w:r>
        <w:t>40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"_Toc188453625" </w:instrText>
      </w:r>
      <w:r>
        <w:fldChar w:fldCharType="separate"/>
      </w:r>
      <w:r>
        <w:rPr>
          <w:rStyle w:val="63"/>
          <w:rFonts w:hint="eastAsia"/>
        </w:rPr>
        <w:t>（四）与相关禁限区的重叠情况</w:t>
      </w:r>
      <w:r>
        <w:tab/>
      </w:r>
      <w:r>
        <w:fldChar w:fldCharType="begin"/>
      </w:r>
      <w:r>
        <w:instrText xml:space="preserve"> PAGEREF _Toc188453625 \h </w:instrText>
      </w:r>
      <w:r>
        <w:fldChar w:fldCharType="separate"/>
      </w:r>
      <w:r>
        <w:t>44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"_Toc188453626" </w:instrText>
      </w:r>
      <w:r>
        <w:fldChar w:fldCharType="separate"/>
      </w:r>
      <w:r>
        <w:rPr>
          <w:rStyle w:val="63"/>
          <w:rFonts w:hint="eastAsia"/>
        </w:rPr>
        <w:t>（五）采矿权矿区范围</w:t>
      </w:r>
      <w:r>
        <w:tab/>
      </w:r>
      <w:r>
        <w:fldChar w:fldCharType="begin"/>
      </w:r>
      <w:r>
        <w:instrText xml:space="preserve"> PAGEREF _Toc188453626 \h </w:instrText>
      </w:r>
      <w:r>
        <w:fldChar w:fldCharType="separate"/>
      </w:r>
      <w:r>
        <w:t>44</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"_Toc188453627" </w:instrText>
      </w:r>
      <w:r>
        <w:fldChar w:fldCharType="separate"/>
      </w:r>
      <w:r>
        <w:rPr>
          <w:rStyle w:val="63"/>
          <w:rFonts w:hint="eastAsia"/>
        </w:rPr>
        <w:t>四、矿产资源开采与综合利用</w:t>
      </w:r>
      <w:r>
        <w:tab/>
      </w:r>
      <w:r>
        <w:fldChar w:fldCharType="begin"/>
      </w:r>
      <w:r>
        <w:instrText xml:space="preserve"> PAGEREF _Toc188453627 \h </w:instrText>
      </w:r>
      <w:r>
        <w:fldChar w:fldCharType="separate"/>
      </w:r>
      <w:r>
        <w:t>46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"_Toc188453628" </w:instrText>
      </w:r>
      <w:r>
        <w:fldChar w:fldCharType="separate"/>
      </w:r>
      <w:r>
        <w:rPr>
          <w:rStyle w:val="63"/>
          <w:rFonts w:hint="eastAsia"/>
        </w:rPr>
        <w:t>（一）开采矿种</w:t>
      </w:r>
      <w:r>
        <w:tab/>
      </w:r>
      <w:r>
        <w:fldChar w:fldCharType="begin"/>
      </w:r>
      <w:r>
        <w:instrText xml:space="preserve"> PAGEREF _Toc188453628 \h </w:instrText>
      </w:r>
      <w:r>
        <w:fldChar w:fldCharType="separate"/>
      </w:r>
      <w:r>
        <w:t>46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"_Toc188453629" </w:instrText>
      </w:r>
      <w:r>
        <w:fldChar w:fldCharType="separate"/>
      </w:r>
      <w:r>
        <w:rPr>
          <w:rStyle w:val="63"/>
          <w:rFonts w:hint="eastAsia"/>
        </w:rPr>
        <w:t>（二）开采方式</w:t>
      </w:r>
      <w:r>
        <w:tab/>
      </w:r>
      <w:r>
        <w:fldChar w:fldCharType="begin"/>
      </w:r>
      <w:r>
        <w:instrText xml:space="preserve"> PAGEREF _Toc188453629 \h </w:instrText>
      </w:r>
      <w:r>
        <w:fldChar w:fldCharType="separate"/>
      </w:r>
      <w:r>
        <w:t>50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"_Toc188453630" </w:instrText>
      </w:r>
      <w:r>
        <w:fldChar w:fldCharType="separate"/>
      </w:r>
      <w:r>
        <w:rPr>
          <w:rStyle w:val="63"/>
          <w:rFonts w:hint="eastAsia"/>
        </w:rPr>
        <w:t>（三）拟建生产规模</w:t>
      </w:r>
      <w:r>
        <w:tab/>
      </w:r>
      <w:r>
        <w:fldChar w:fldCharType="begin"/>
      </w:r>
      <w:r>
        <w:instrText xml:space="preserve"> PAGEREF _Toc188453630 \h </w:instrText>
      </w:r>
      <w:r>
        <w:fldChar w:fldCharType="separate"/>
      </w:r>
      <w:r>
        <w:t>66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"_Toc188453631" </w:instrText>
      </w:r>
      <w:r>
        <w:fldChar w:fldCharType="separate"/>
      </w:r>
      <w:r>
        <w:rPr>
          <w:rStyle w:val="63"/>
          <w:rFonts w:hint="eastAsia"/>
        </w:rPr>
        <w:t>（四）资源综合利用</w:t>
      </w:r>
      <w:r>
        <w:tab/>
      </w:r>
      <w:r>
        <w:fldChar w:fldCharType="begin"/>
      </w:r>
      <w:r>
        <w:instrText xml:space="preserve"> PAGEREF _Toc188453631 \h </w:instrText>
      </w:r>
      <w:r>
        <w:fldChar w:fldCharType="separate"/>
      </w:r>
      <w:r>
        <w:t>68</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"_Toc188453632" </w:instrText>
      </w:r>
      <w:r>
        <w:fldChar w:fldCharType="separate"/>
      </w:r>
      <w:r>
        <w:rPr>
          <w:rStyle w:val="63"/>
          <w:rFonts w:hint="eastAsia"/>
        </w:rPr>
        <w:t>五、结论</w:t>
      </w:r>
      <w:r>
        <w:tab/>
      </w:r>
      <w:r>
        <w:fldChar w:fldCharType="begin"/>
      </w:r>
      <w:r>
        <w:instrText xml:space="preserve"> PAGEREF _Toc188453632 \h </w:instrText>
      </w:r>
      <w:r>
        <w:fldChar w:fldCharType="separate"/>
      </w:r>
      <w:r>
        <w:t>70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"_Toc188453633" </w:instrText>
      </w:r>
      <w:r>
        <w:fldChar w:fldCharType="separate"/>
      </w:r>
      <w:r>
        <w:rPr>
          <w:rStyle w:val="63"/>
          <w:rFonts w:hint="eastAsia"/>
        </w:rPr>
        <w:t>（一）资源储量与估算设计利用资源量</w:t>
      </w:r>
      <w:r>
        <w:tab/>
      </w:r>
      <w:r>
        <w:fldChar w:fldCharType="begin"/>
      </w:r>
      <w:r>
        <w:instrText xml:space="preserve"> PAGEREF _Toc188453633 \h </w:instrText>
      </w:r>
      <w:r>
        <w:fldChar w:fldCharType="separate"/>
      </w:r>
      <w:r>
        <w:t>70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"_Toc188453634" </w:instrText>
      </w:r>
      <w:r>
        <w:fldChar w:fldCharType="separate"/>
      </w:r>
      <w:r>
        <w:rPr>
          <w:rStyle w:val="63"/>
          <w:rFonts w:hint="eastAsia"/>
        </w:rPr>
        <w:t>（二）采矿权矿区范围</w:t>
      </w:r>
      <w:r>
        <w:tab/>
      </w:r>
      <w:r>
        <w:fldChar w:fldCharType="begin"/>
      </w:r>
      <w:r>
        <w:instrText xml:space="preserve"> PAGEREF _Toc188453634 \h </w:instrText>
      </w:r>
      <w:r>
        <w:fldChar w:fldCharType="separate"/>
      </w:r>
      <w:r>
        <w:t>72</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"_Toc188453635" </w:instrText>
      </w:r>
      <w:r>
        <w:fldChar w:fldCharType="separate"/>
      </w:r>
      <w:r>
        <w:rPr>
          <w:rStyle w:val="63"/>
          <w:rFonts w:hint="eastAsia"/>
        </w:rPr>
        <w:t>（三）开采矿种</w:t>
      </w:r>
      <w:r>
        <w:tab/>
      </w:r>
      <w:r>
        <w:fldChar w:fldCharType="begin"/>
      </w:r>
      <w:r>
        <w:instrText xml:space="preserve"> PAGEREF _Toc188453635 \h </w:instrText>
      </w:r>
      <w:r>
        <w:fldChar w:fldCharType="separate"/>
      </w:r>
      <w:r>
        <w:t>73</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"_Toc188453636" </w:instrText>
      </w:r>
      <w:r>
        <w:fldChar w:fldCharType="separate"/>
      </w:r>
      <w:r>
        <w:rPr>
          <w:rStyle w:val="63"/>
          <w:rFonts w:hint="eastAsia"/>
        </w:rPr>
        <w:t>（四）开采方式、开采顺序、采矿方法</w:t>
      </w:r>
      <w:r>
        <w:tab/>
      </w:r>
      <w:r>
        <w:fldChar w:fldCharType="begin"/>
      </w:r>
      <w:r>
        <w:instrText xml:space="preserve"> PAGEREF _Toc188453636 \h </w:instrText>
      </w:r>
      <w:r>
        <w:fldChar w:fldCharType="separate"/>
      </w:r>
      <w:r>
        <w:t>73</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"_Toc188453637" </w:instrText>
      </w:r>
      <w:r>
        <w:fldChar w:fldCharType="separate"/>
      </w:r>
      <w:r>
        <w:rPr>
          <w:rStyle w:val="63"/>
          <w:rFonts w:hint="eastAsia"/>
        </w:rPr>
        <w:t>（五）拟建生产规模、矿山服务年限</w:t>
      </w:r>
      <w:r>
        <w:tab/>
      </w:r>
      <w:r>
        <w:fldChar w:fldCharType="begin"/>
      </w:r>
      <w:r>
        <w:instrText xml:space="preserve"> PAGEREF _Toc188453637 \h </w:instrText>
      </w:r>
      <w:r>
        <w:fldChar w:fldCharType="separate"/>
      </w:r>
      <w:r>
        <w:t>73</w:t>
      </w:r>
      <w:r>
        <w:fldChar w:fldCharType="end"/>
      </w:r>
      <w:r>
        <w:fldChar w:fldCharType="end"/>
      </w:r>
    </w:p>
    <w:p>
      <w:pPr>
        <w:pStyle w:val="44"/>
        <w:rPr>
          <w:rStyle w:val="63"/>
        </w:rPr>
        <w:sectPr>
          <w:headerReference r:id="rId6" w:type="default"/>
          <w:footerReference r:id="rId7" w:type="default"/>
          <w:pgSz w:w="11906" w:h="16838"/>
          <w:pgMar w:top="1440" w:right="1800" w:bottom="1440" w:left="1800" w:header="851" w:footer="812" w:gutter="0"/>
          <w:pgNumType w:start="1"/>
          <w:cols w:space="425" w:num="1"/>
          <w:docGrid w:type="lines" w:linePitch="312" w:charSpace="0"/>
        </w:sectPr>
      </w:pPr>
      <w:r>
        <w:fldChar w:fldCharType="begin"/>
      </w:r>
      <w:r>
        <w:instrText xml:space="preserve"> HYPERLINK \l "_Toc188453638" </w:instrText>
      </w:r>
      <w:r>
        <w:fldChar w:fldCharType="separate"/>
      </w:r>
      <w:r>
        <w:rPr>
          <w:rStyle w:val="63"/>
          <w:rFonts w:hint="eastAsia"/>
        </w:rPr>
        <w:t>（六）资源综合利用</w:t>
      </w:r>
      <w:r>
        <w:tab/>
      </w:r>
      <w:r>
        <w:fldChar w:fldCharType="begin"/>
      </w:r>
      <w:r>
        <w:instrText xml:space="preserve"> PAGEREF _Toc188453638 \h </w:instrText>
      </w:r>
      <w:r>
        <w:fldChar w:fldCharType="separate"/>
      </w:r>
      <w:r>
        <w:t>73</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"_Toc188453639" </w:instrText>
      </w:r>
      <w:r>
        <w:fldChar w:fldCharType="separate"/>
      </w:r>
      <w:r>
        <w:rPr>
          <w:rStyle w:val="63"/>
          <w:rFonts w:hint="eastAsia"/>
        </w:rPr>
        <w:t>附件</w:t>
      </w:r>
      <w:r>
        <w:tab/>
      </w:r>
      <w:r>
        <w:fldChar w:fldCharType="begin"/>
      </w:r>
      <w:r>
        <w:instrText xml:space="preserve"> PAGEREF _Toc188453639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"_Toc188453640" </w:instrText>
      </w:r>
      <w:r>
        <w:fldChar w:fldCharType="separate"/>
      </w:r>
      <w:r>
        <w:rPr>
          <w:rStyle w:val="63"/>
        </w:rPr>
        <w:t>1.</w:t>
      </w:r>
      <w:r>
        <w:rPr>
          <w:rStyle w:val="63"/>
          <w:rFonts w:hint="eastAsia"/>
        </w:rPr>
        <w:t>矿产资源开发利用方案编制信息及承诺书；</w:t>
      </w:r>
      <w:r>
        <w:tab/>
      </w:r>
      <w:r>
        <w:fldChar w:fldCharType="begin"/>
      </w:r>
      <w:r>
        <w:instrText xml:space="preserve"> PAGEREF _Toc188453640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"_Toc188453641" </w:instrText>
      </w:r>
      <w:r>
        <w:fldChar w:fldCharType="separate"/>
      </w:r>
      <w:r>
        <w:rPr>
          <w:rStyle w:val="63"/>
        </w:rPr>
        <w:t>2.</w:t>
      </w:r>
      <w:r>
        <w:rPr>
          <w:rStyle w:val="63"/>
          <w:rFonts w:hint="eastAsia"/>
        </w:rPr>
        <w:t>矿产资源开发利用方案综合信息表；</w:t>
      </w:r>
      <w:r>
        <w:tab/>
      </w:r>
      <w:r>
        <w:fldChar w:fldCharType="begin"/>
      </w:r>
      <w:r>
        <w:instrText xml:space="preserve"> PAGEREF _Toc188453641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"_Toc188453642" </w:instrText>
      </w:r>
      <w:r>
        <w:fldChar w:fldCharType="separate"/>
      </w:r>
      <w:r>
        <w:rPr>
          <w:rStyle w:val="63"/>
        </w:rPr>
        <w:t>3.</w:t>
      </w:r>
      <w:r>
        <w:rPr>
          <w:rStyle w:val="63"/>
          <w:rFonts w:hint="eastAsia"/>
        </w:rPr>
        <w:t>营业执照</w:t>
      </w:r>
      <w:r>
        <w:rPr>
          <w:rStyle w:val="63"/>
        </w:rPr>
        <w:t>(</w:t>
      </w:r>
      <w:r>
        <w:rPr>
          <w:rStyle w:val="63"/>
          <w:rFonts w:hint="eastAsia"/>
        </w:rPr>
        <w:t>统一社会信用代码：</w:t>
      </w:r>
      <w:r>
        <w:rPr>
          <w:rStyle w:val="63"/>
        </w:rPr>
        <w:t>912112817308236158)</w:t>
      </w:r>
      <w:r>
        <w:rPr>
          <w:rStyle w:val="63"/>
          <w:rFonts w:hint="eastAsia"/>
        </w:rPr>
        <w:t>；</w:t>
      </w:r>
      <w:r>
        <w:tab/>
      </w:r>
      <w:r>
        <w:fldChar w:fldCharType="begin"/>
      </w:r>
      <w:r>
        <w:instrText xml:space="preserve"> PAGEREF _Toc188453642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"_Toc188453643" </w:instrText>
      </w:r>
      <w:r>
        <w:fldChar w:fldCharType="separate"/>
      </w:r>
      <w:r>
        <w:rPr>
          <w:rStyle w:val="63"/>
        </w:rPr>
        <w:t>4.</w:t>
      </w:r>
      <w:r>
        <w:rPr>
          <w:rStyle w:val="63"/>
          <w:rFonts w:hint="eastAsia"/>
        </w:rPr>
        <w:t>采矿许可证</w:t>
      </w:r>
      <w:r>
        <w:rPr>
          <w:rStyle w:val="63"/>
        </w:rPr>
        <w:t>(</w:t>
      </w:r>
      <w:r>
        <w:rPr>
          <w:rStyle w:val="63"/>
          <w:rFonts w:hint="eastAsia"/>
        </w:rPr>
        <w:t>证号：</w:t>
      </w:r>
      <w:r>
        <w:rPr>
          <w:rStyle w:val="63"/>
        </w:rPr>
        <w:t>C2112002009047120014013)</w:t>
      </w:r>
      <w:r>
        <w:rPr>
          <w:rStyle w:val="63"/>
          <w:rFonts w:hint="eastAsia"/>
        </w:rPr>
        <w:t>；</w:t>
      </w:r>
      <w:r>
        <w:tab/>
      </w:r>
      <w:r>
        <w:fldChar w:fldCharType="begin"/>
      </w:r>
      <w:r>
        <w:instrText xml:space="preserve"> PAGEREF _Toc188453643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"_Toc188453644" </w:instrText>
      </w:r>
      <w:r>
        <w:fldChar w:fldCharType="separate"/>
      </w:r>
      <w:r>
        <w:rPr>
          <w:rStyle w:val="63"/>
        </w:rPr>
        <w:t>5.</w:t>
      </w:r>
      <w:r>
        <w:rPr>
          <w:rStyle w:val="63"/>
          <w:rFonts w:hint="eastAsia"/>
        </w:rPr>
        <w:t>申请人承诺书；</w:t>
      </w:r>
      <w:r>
        <w:tab/>
      </w:r>
      <w:r>
        <w:fldChar w:fldCharType="begin"/>
      </w:r>
      <w:r>
        <w:instrText xml:space="preserve"> PAGEREF _Toc188453644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"_Toc188453645" </w:instrText>
      </w:r>
      <w:r>
        <w:fldChar w:fldCharType="separate"/>
      </w:r>
      <w:r>
        <w:rPr>
          <w:rStyle w:val="63"/>
        </w:rPr>
        <w:t>6.</w:t>
      </w:r>
      <w:r>
        <w:rPr>
          <w:rStyle w:val="63"/>
          <w:rFonts w:hint="eastAsia"/>
        </w:rPr>
        <w:t>开发利用方案编制委托书；</w:t>
      </w:r>
      <w:r>
        <w:tab/>
      </w:r>
      <w:r>
        <w:fldChar w:fldCharType="begin"/>
      </w:r>
      <w:r>
        <w:instrText xml:space="preserve"> PAGEREF _Toc188453645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"_Toc188453646" </w:instrText>
      </w:r>
      <w:r>
        <w:fldChar w:fldCharType="separate"/>
      </w:r>
      <w:r>
        <w:rPr>
          <w:rStyle w:val="63"/>
        </w:rPr>
        <w:t>7.</w:t>
      </w:r>
      <w:r>
        <w:rPr>
          <w:rStyle w:val="63"/>
          <w:rFonts w:hint="eastAsia"/>
        </w:rPr>
        <w:t>方案编制单位承诺书；</w:t>
      </w:r>
      <w:r>
        <w:tab/>
      </w:r>
      <w:r>
        <w:fldChar w:fldCharType="begin"/>
      </w:r>
      <w:r>
        <w:instrText xml:space="preserve"> PAGEREF _Toc188453646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"_Toc188453647" </w:instrText>
      </w:r>
      <w:r>
        <w:fldChar w:fldCharType="separate"/>
      </w:r>
      <w:r>
        <w:rPr>
          <w:rStyle w:val="63"/>
        </w:rPr>
        <w:t>8.</w:t>
      </w:r>
      <w:r>
        <w:rPr>
          <w:rStyle w:val="63"/>
          <w:rFonts w:hint="eastAsia"/>
        </w:rPr>
        <w:t>《调兵山市硅灰石井巷矿矿产资源开发利用方案</w:t>
      </w:r>
      <w:r>
        <w:rPr>
          <w:rStyle w:val="63"/>
          <w:lang w:bidi="zh-CN"/>
        </w:rPr>
        <w:t>(</w:t>
      </w:r>
      <w:r>
        <w:rPr>
          <w:rStyle w:val="63"/>
          <w:rFonts w:hint="eastAsia"/>
          <w:lang w:bidi="zh-CN"/>
        </w:rPr>
        <w:t>调整方案</w:t>
      </w:r>
      <w:r>
        <w:rPr>
          <w:rStyle w:val="63"/>
          <w:lang w:bidi="zh-CN"/>
        </w:rPr>
        <w:t>)</w:t>
      </w:r>
      <w:r>
        <w:rPr>
          <w:rStyle w:val="63"/>
          <w:rFonts w:hint="eastAsia"/>
        </w:rPr>
        <w:t>》审查意见书</w:t>
      </w:r>
      <w:r>
        <w:rPr>
          <w:rStyle w:val="63"/>
        </w:rPr>
        <w:t>(</w:t>
      </w:r>
      <w:r>
        <w:rPr>
          <w:rStyle w:val="63"/>
          <w:rFonts w:hint="eastAsia"/>
        </w:rPr>
        <w:t>铁自事评</w:t>
      </w:r>
      <w:r>
        <w:rPr>
          <w:rStyle w:val="63"/>
        </w:rPr>
        <w:t>(</w:t>
      </w:r>
      <w:r>
        <w:rPr>
          <w:rStyle w:val="63"/>
          <w:rFonts w:hint="eastAsia"/>
        </w:rPr>
        <w:t>开</w:t>
      </w:r>
      <w:r>
        <w:rPr>
          <w:rStyle w:val="63"/>
        </w:rPr>
        <w:t>)</w:t>
      </w:r>
      <w:r>
        <w:rPr>
          <w:rStyle w:val="63"/>
          <w:rFonts w:hint="eastAsia"/>
        </w:rPr>
        <w:t>字〔</w:t>
      </w:r>
      <w:r>
        <w:rPr>
          <w:rStyle w:val="63"/>
        </w:rPr>
        <w:t>2019</w:t>
      </w:r>
      <w:r>
        <w:rPr>
          <w:rStyle w:val="63"/>
          <w:rFonts w:hint="eastAsia"/>
        </w:rPr>
        <w:t>〕</w:t>
      </w:r>
      <w:r>
        <w:rPr>
          <w:rStyle w:val="63"/>
        </w:rPr>
        <w:t>03</w:t>
      </w:r>
      <w:r>
        <w:rPr>
          <w:rStyle w:val="63"/>
          <w:rFonts w:hint="eastAsia"/>
        </w:rPr>
        <w:t>号，</w:t>
      </w:r>
      <w:r>
        <w:rPr>
          <w:rStyle w:val="63"/>
        </w:rPr>
        <w:t>2019</w:t>
      </w:r>
      <w:r>
        <w:rPr>
          <w:rStyle w:val="63"/>
          <w:rFonts w:hint="eastAsia"/>
        </w:rPr>
        <w:t>年</w:t>
      </w:r>
      <w:r>
        <w:rPr>
          <w:rStyle w:val="63"/>
        </w:rPr>
        <w:t>5</w:t>
      </w:r>
      <w:r>
        <w:rPr>
          <w:rStyle w:val="63"/>
          <w:rFonts w:hint="eastAsia"/>
        </w:rPr>
        <w:t>月；</w:t>
      </w:r>
      <w:r>
        <w:tab/>
      </w:r>
      <w:r>
        <w:fldChar w:fldCharType="begin"/>
      </w:r>
      <w:r>
        <w:instrText xml:space="preserve"> PAGEREF _Toc188453647 \h </w:instrText>
      </w:r>
      <w:r>
        <w:fldChar w:fldCharType="separate"/>
      </w:r>
      <w:r>
        <w:t>75</w:t>
      </w:r>
      <w:r>
        <w:fldChar w:fldCharType="end"/>
      </w:r>
      <w:r>
        <w:fldChar w:fldCharType="end"/>
      </w:r>
    </w:p>
    <w:p>
      <w:pPr>
        <w:pStyle w:val="44"/>
        <w:rPr>
          <w:rStyle w:val="63"/>
        </w:rPr>
        <w:sectPr>
          <w:pgSz w:w="11906" w:h="16838"/>
          <w:pgMar w:top="1440" w:right="1800" w:bottom="1440" w:left="1800" w:header="851" w:footer="812" w:gutter="0"/>
          <w:pgNumType w:start="1"/>
          <w:cols w:space="425" w:num="1"/>
          <w:docGrid w:type="lines" w:linePitch="312" w:charSpace="0"/>
        </w:sectPr>
      </w:pPr>
      <w:r>
        <w:fldChar w:fldCharType="begin"/>
      </w:r>
      <w:r>
        <w:instrText xml:space="preserve"> HYPERLINK \l "_Toc188453648" </w:instrText>
      </w:r>
      <w:r>
        <w:fldChar w:fldCharType="separate"/>
      </w:r>
      <w:r>
        <w:rPr>
          <w:rStyle w:val="63"/>
        </w:rPr>
        <w:t>9.</w:t>
      </w:r>
      <w:r>
        <w:rPr>
          <w:rStyle w:val="63"/>
          <w:rFonts w:hint="eastAsia"/>
        </w:rPr>
        <w:t>《</w:t>
      </w:r>
      <w:r>
        <w:rPr>
          <w:rStyle w:val="63"/>
          <w:lang w:bidi="zh-CN"/>
        </w:rPr>
        <w:t>&lt;</w:t>
      </w:r>
      <w:r>
        <w:rPr>
          <w:rStyle w:val="63"/>
          <w:rFonts w:hint="eastAsia"/>
          <w:lang w:bidi="zh-CN"/>
        </w:rPr>
        <w:t>辽宁省调兵山市泉眼沟矿区硅灰石矿补充勘探报告</w:t>
      </w:r>
      <w:r>
        <w:rPr>
          <w:rStyle w:val="63"/>
          <w:lang w:bidi="zh-CN"/>
        </w:rPr>
        <w:t>&gt;</w:t>
      </w:r>
      <w:r>
        <w:rPr>
          <w:rStyle w:val="63"/>
          <w:rFonts w:hint="eastAsia"/>
          <w:lang w:bidi="zh-CN"/>
        </w:rPr>
        <w:t>评审意见书</w:t>
      </w:r>
      <w:r>
        <w:rPr>
          <w:rStyle w:val="63"/>
          <w:rFonts w:hint="eastAsia"/>
        </w:rPr>
        <w:t>》，</w:t>
      </w:r>
      <w:r>
        <w:rPr>
          <w:rStyle w:val="63"/>
        </w:rPr>
        <w:t>2024</w:t>
      </w:r>
      <w:r>
        <w:rPr>
          <w:rStyle w:val="63"/>
          <w:rFonts w:hint="eastAsia"/>
        </w:rPr>
        <w:t>年</w:t>
      </w:r>
      <w:r>
        <w:rPr>
          <w:rStyle w:val="63"/>
        </w:rPr>
        <w:t>11</w:t>
      </w:r>
      <w:r>
        <w:rPr>
          <w:rStyle w:val="63"/>
          <w:rFonts w:hint="eastAsia"/>
        </w:rPr>
        <w:t>月；</w:t>
      </w:r>
      <w:r>
        <w:tab/>
      </w:r>
      <w:r>
        <w:fldChar w:fldCharType="begin"/>
      </w:r>
      <w:r>
        <w:instrText xml:space="preserve"> PAGEREF _Toc188453648 \h </w:instrText>
      </w:r>
      <w:r>
        <w:fldChar w:fldCharType="separate"/>
      </w:r>
      <w:r>
        <w:t>75</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"_Toc188453649" </w:instrText>
      </w:r>
      <w:r>
        <w:fldChar w:fldCharType="separate"/>
      </w:r>
      <w:r>
        <w:rPr>
          <w:rStyle w:val="63"/>
          <w:rFonts w:hint="eastAsia"/>
        </w:rPr>
        <w:t>附图</w:t>
      </w:r>
      <w:r>
        <w:tab/>
      </w:r>
      <w:r>
        <w:fldChar w:fldCharType="begin"/>
      </w:r>
      <w:r>
        <w:instrText xml:space="preserve"> PAGEREF _Toc188453649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"_Toc188453650" </w:instrText>
      </w:r>
      <w:r>
        <w:fldChar w:fldCharType="separate"/>
      </w:r>
      <w:r>
        <w:rPr>
          <w:rStyle w:val="63"/>
        </w:rPr>
        <w:t>1.</w:t>
      </w:r>
      <w:r>
        <w:rPr>
          <w:rStyle w:val="63"/>
          <w:rFonts w:hint="eastAsia"/>
        </w:rPr>
        <w:t>图纸目录</w:t>
      </w:r>
      <w:r>
        <w:tab/>
      </w:r>
      <w:r>
        <w:fldChar w:fldCharType="begin"/>
      </w:r>
      <w:r>
        <w:instrText xml:space="preserve"> PAGEREF _Toc188453650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"_Toc188453651" </w:instrText>
      </w:r>
      <w:r>
        <w:fldChar w:fldCharType="separate"/>
      </w:r>
      <w:r>
        <w:rPr>
          <w:rStyle w:val="63"/>
        </w:rPr>
        <w:t>2.</w:t>
      </w:r>
      <w:r>
        <w:rPr>
          <w:rStyle w:val="63"/>
          <w:rFonts w:hint="eastAsia"/>
        </w:rPr>
        <w:t>地形地质及矿区范围图</w:t>
      </w:r>
      <w:r>
        <w:rPr>
          <w:rStyle w:val="63"/>
        </w:rPr>
        <w:t>1:2000</w:t>
      </w:r>
      <w:r>
        <w:tab/>
      </w:r>
      <w:r>
        <w:fldChar w:fldCharType="begin"/>
      </w:r>
      <w:r>
        <w:instrText xml:space="preserve"> PAGEREF _Toc188453651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"_Toc188453652" </w:instrText>
      </w:r>
      <w:r>
        <w:fldChar w:fldCharType="separate"/>
      </w:r>
      <w:r>
        <w:rPr>
          <w:rStyle w:val="63"/>
        </w:rPr>
        <w:t>3.</w:t>
      </w:r>
      <w:r>
        <w:rPr>
          <w:rStyle w:val="63"/>
          <w:rFonts w:hint="eastAsia"/>
        </w:rPr>
        <w:t>总平面布置</w:t>
      </w:r>
      <w:r>
        <w:rPr>
          <w:rStyle w:val="63"/>
        </w:rPr>
        <w:t>1:2000</w:t>
      </w:r>
      <w:r>
        <w:tab/>
      </w:r>
      <w:r>
        <w:fldChar w:fldCharType="begin"/>
      </w:r>
      <w:r>
        <w:instrText xml:space="preserve"> PAGEREF _Toc188453652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"_Toc188453653" </w:instrText>
      </w:r>
      <w:r>
        <w:fldChar w:fldCharType="separate"/>
      </w:r>
      <w:r>
        <w:rPr>
          <w:rStyle w:val="63"/>
        </w:rPr>
        <w:t>4.</w:t>
      </w:r>
      <w:r>
        <w:rPr>
          <w:rStyle w:val="63"/>
          <w:rFonts w:hint="eastAsia"/>
        </w:rPr>
        <w:t>井上下工程对照图</w:t>
      </w:r>
      <w:r>
        <w:rPr>
          <w:rStyle w:val="63"/>
        </w:rPr>
        <w:t>1:2000</w:t>
      </w:r>
      <w:r>
        <w:tab/>
      </w:r>
      <w:r>
        <w:fldChar w:fldCharType="begin"/>
      </w:r>
      <w:r>
        <w:instrText xml:space="preserve"> PAGEREF _Toc188453653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"_Toc188453654" </w:instrText>
      </w:r>
      <w:r>
        <w:fldChar w:fldCharType="separate"/>
      </w:r>
      <w:r>
        <w:rPr>
          <w:rStyle w:val="63"/>
        </w:rPr>
        <w:t>5.</w:t>
      </w:r>
      <w:r>
        <w:rPr>
          <w:rStyle w:val="63"/>
          <w:rFonts w:hint="eastAsia"/>
        </w:rPr>
        <w:t>开拓系统垂直纵投影图</w:t>
      </w:r>
      <w:r>
        <w:rPr>
          <w:rStyle w:val="63"/>
        </w:rPr>
        <w:t>1:2000</w:t>
      </w:r>
      <w:r>
        <w:tab/>
      </w:r>
      <w:r>
        <w:fldChar w:fldCharType="begin"/>
      </w:r>
      <w:r>
        <w:instrText xml:space="preserve"> PAGEREF _Toc188453654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"_Toc188453655" </w:instrText>
      </w:r>
      <w:r>
        <w:fldChar w:fldCharType="separate"/>
      </w:r>
      <w:r>
        <w:rPr>
          <w:rStyle w:val="63"/>
        </w:rPr>
        <w:t>6.</w:t>
      </w:r>
      <w:r>
        <w:rPr>
          <w:rStyle w:val="63"/>
          <w:rFonts w:hint="eastAsia"/>
        </w:rPr>
        <w:t>三叠图</w:t>
      </w:r>
      <w:r>
        <w:rPr>
          <w:rStyle w:val="63"/>
        </w:rPr>
        <w:t>1:2000</w:t>
      </w:r>
      <w:r>
        <w:tab/>
      </w:r>
      <w:r>
        <w:fldChar w:fldCharType="begin"/>
      </w:r>
      <w:r>
        <w:instrText xml:space="preserve"> PAGEREF _Toc188453655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"_Toc188453656" </w:instrText>
      </w:r>
      <w:r>
        <w:fldChar w:fldCharType="separate"/>
      </w:r>
      <w:r>
        <w:rPr>
          <w:rStyle w:val="63"/>
        </w:rPr>
        <w:t>7.</w:t>
      </w:r>
      <w:r>
        <w:rPr>
          <w:rStyle w:val="63"/>
          <w:rFonts w:hint="eastAsia"/>
        </w:rPr>
        <w:t>地质勘探线剖面图</w:t>
      </w:r>
      <w:r>
        <w:rPr>
          <w:rStyle w:val="63"/>
        </w:rPr>
        <w:t>1:2000</w:t>
      </w:r>
      <w:r>
        <w:tab/>
      </w:r>
      <w:r>
        <w:fldChar w:fldCharType="begin"/>
      </w:r>
      <w:r>
        <w:instrText xml:space="preserve"> PAGEREF _Toc188453656 \h </w:instrText>
      </w:r>
      <w:r>
        <w:fldChar w:fldCharType="separate"/>
      </w:r>
      <w:r>
        <w:t>76</w:t>
      </w:r>
      <w:r>
        <w:fldChar w:fldCharType="end"/>
      </w:r>
      <w:r>
        <w:fldChar w:fldCharType="end"/>
      </w:r>
    </w:p>
    <w:p>
      <w:pPr>
        <w:pStyle w:val="44"/>
        <w:rPr>
          <w:rStyle w:val="63"/>
        </w:rPr>
        <w:sectPr>
          <w:pgSz w:w="11906" w:h="16838"/>
          <w:pgMar w:top="1440" w:right="1800" w:bottom="1440" w:left="1800" w:header="851" w:footer="812" w:gutter="0"/>
          <w:pgNumType w:start="1"/>
          <w:cols w:space="425" w:num="1"/>
          <w:docGrid w:type="lines" w:linePitch="312" w:charSpace="0"/>
        </w:sectPr>
      </w:pPr>
      <w:r>
        <w:fldChar w:fldCharType="begin"/>
      </w:r>
      <w:r>
        <w:instrText xml:space="preserve"> HYPERLINK \l "_Toc188453657" </w:instrText>
      </w:r>
      <w:r>
        <w:fldChar w:fldCharType="separate"/>
      </w:r>
      <w:r>
        <w:rPr>
          <w:rStyle w:val="63"/>
        </w:rPr>
        <w:t>8.</w:t>
      </w:r>
      <w:r>
        <w:rPr>
          <w:rStyle w:val="63"/>
          <w:rFonts w:hint="eastAsia"/>
        </w:rPr>
        <w:t>浅孔留矿嗣后充填法采矿方法示意图</w:t>
      </w:r>
      <w:r>
        <w:tab/>
      </w:r>
      <w:r>
        <w:fldChar w:fldCharType="begin"/>
      </w:r>
      <w:r>
        <w:instrText xml:space="preserve"> PAGEREF _Toc188453657 \h </w:instrText>
      </w:r>
      <w:r>
        <w:fldChar w:fldCharType="separate"/>
      </w:r>
      <w:r>
        <w:t>76</w:t>
      </w:r>
      <w:r>
        <w:fldChar w:fldCharType="end"/>
      </w:r>
      <w:r>
        <w:fldChar w:fldCharType="end"/>
      </w:r>
    </w:p>
    <w:p>
      <w:pPr>
        <w:pStyle w:val="3"/>
        <w:jc w:val="center"/>
      </w:pPr>
      <w:r>
        <w:rPr>
          <w:rFonts w:asciiTheme="minorEastAsia" w:hAnsiTheme="minorEastAsia" w:eastAsiaTheme="minorEastAsia"/>
          <w:sz w:val="28"/>
          <w:szCs w:val="28"/>
        </w:rPr>
        <w:fldChar w:fldCharType="end"/>
      </w:r>
      <w:bookmarkStart w:id="16" w:name="_Toc188453610"/>
      <w:bookmarkStart w:id="17" w:name="_Toc187151540"/>
      <w:r>
        <w:rPr>
          <w:rFonts w:hint="eastAsia"/>
        </w:rPr>
        <w:t>前言</w:t>
      </w:r>
      <w:bookmarkEnd w:id="16"/>
      <w:bookmarkEnd w:id="17"/>
    </w:p>
    <w:p>
      <w:pPr>
        <w:pStyle w:val="467"/>
      </w:pPr>
      <w:bookmarkStart w:id="18" w:name="_Toc188453611"/>
      <w:bookmarkStart w:id="19" w:name="_Toc187151541"/>
      <w:bookmarkStart w:id="20" w:name="_Toc142406867"/>
      <w:bookmarkStart w:id="21" w:name="_Toc146115696"/>
      <w:bookmarkStart w:id="22" w:name="_Toc146115779"/>
      <w:r>
        <w:rPr>
          <w:rFonts w:hint="eastAsia"/>
        </w:rPr>
        <w:t>（一）编制目的</w:t>
      </w:r>
      <w:bookmarkEnd w:id="18"/>
      <w:bookmarkEnd w:id="19"/>
    </w:p>
    <w:p>
      <w:pPr>
        <w:pStyle w:val="98"/>
        <w:ind w:firstLine="560"/>
      </w:pPr>
      <w:r>
        <w:rPr>
          <w:rFonts w:hint="eastAsia"/>
        </w:rPr>
        <w:t>2019年5月，</w:t>
      </w:r>
      <w:r>
        <w:rPr>
          <w:rFonts w:hint="eastAsia"/>
          <w:lang w:bidi="zh-CN"/>
        </w:rPr>
        <w:t>沈阳鼎唐矿业咨询有限公司</w:t>
      </w:r>
      <w:r>
        <w:rPr>
          <w:rFonts w:hint="eastAsia"/>
        </w:rPr>
        <w:t>编制了《调兵山市硅灰石井巷矿矿产资源开发利用方案》</w:t>
      </w:r>
      <w:r>
        <w:rPr>
          <w:rFonts w:hint="eastAsia" w:hAnsi="仿宋"/>
        </w:rPr>
        <w:t>，</w:t>
      </w:r>
      <w:r>
        <w:rPr>
          <w:rFonts w:hint="eastAsia"/>
        </w:rPr>
        <w:t>拟建斜井开拓。</w:t>
      </w:r>
    </w:p>
    <w:p>
      <w:pPr>
        <w:pStyle w:val="98"/>
        <w:ind w:firstLine="560"/>
      </w:pPr>
      <w:r>
        <w:rPr>
          <w:rFonts w:hint="eastAsia"/>
        </w:rPr>
        <w:t>为履行安全设施“三同时”手续，</w:t>
      </w:r>
      <w:r>
        <w:t>矿山委托</w:t>
      </w:r>
      <w:r>
        <w:rPr>
          <w:rFonts w:hint="eastAsia"/>
        </w:rPr>
        <w:t>我</w:t>
      </w:r>
      <w:r>
        <w:t>公司编制《</w:t>
      </w:r>
      <w:r>
        <w:rPr>
          <w:rFonts w:hint="eastAsia"/>
        </w:rPr>
        <w:t>调兵山市硅灰石井巷矿(硅灰石)地下开采建设项目安全设施设计</w:t>
      </w:r>
      <w:r>
        <w:t>》</w:t>
      </w:r>
      <w:r>
        <w:rPr>
          <w:rFonts w:hint="eastAsia"/>
        </w:rPr>
        <w:t>。</w:t>
      </w:r>
      <w:bookmarkStart w:id="23" w:name="OLE_LINK212"/>
      <w:bookmarkStart w:id="24" w:name="OLE_LINK306"/>
      <w:bookmarkStart w:id="25" w:name="OLE_LINK213"/>
      <w:r>
        <w:rPr>
          <w:rFonts w:hint="eastAsia"/>
        </w:rPr>
        <w:t>因矿山为恢复生产，按现行相关政策要求重新编制设计，以满足矿山安全生产需要</w:t>
      </w:r>
      <w:bookmarkEnd w:id="23"/>
      <w:bookmarkEnd w:id="24"/>
      <w:bookmarkEnd w:id="25"/>
      <w:r>
        <w:rPr>
          <w:rFonts w:hint="eastAsia"/>
        </w:rPr>
        <w:t>，原方案矿山无法设计、施工，需调整开拓系统；矿体赋存发生变化，开采矿产资源范围发生变化；原方案未采用充填法开采，不满足现行政策要求。</w:t>
      </w:r>
    </w:p>
    <w:p>
      <w:pPr>
        <w:pStyle w:val="98"/>
        <w:ind w:firstLine="560"/>
      </w:pPr>
      <w:r>
        <w:rPr>
          <w:rFonts w:hint="eastAsia"/>
        </w:rPr>
        <w:t>根据辽宁省自然资源厅《关于商请处置非煤矿山安全设施设计与矿产资源开发利用方案不一致情形的复函》（辽自然资函[2024]649号），“开采矿产资源范围、开拓方式、井巷工程设施分布范围、采矿方法”与开发利用方案不一致的情形，矿业权人应重新编制开发利用方案。</w:t>
      </w:r>
    </w:p>
    <w:p>
      <w:pPr>
        <w:pStyle w:val="98"/>
        <w:ind w:firstLine="560"/>
      </w:pPr>
      <w:r>
        <w:rPr>
          <w:rFonts w:hint="eastAsia"/>
        </w:rPr>
        <w:t>本次开发利用方案编制目的为修编(变更井口位置、改变开拓方式、开采矿产资源范围、采矿方法)，调兵山市硅灰石井巷矿委托我单位重新</w:t>
      </w:r>
      <w:r>
        <w:t>编制矿产资源开发利用方案</w:t>
      </w:r>
      <w:r>
        <w:rPr>
          <w:rFonts w:hint="eastAsia"/>
        </w:rPr>
        <w:t>。</w:t>
      </w:r>
    </w:p>
    <w:p>
      <w:pPr>
        <w:pStyle w:val="467"/>
      </w:pPr>
      <w:bookmarkStart w:id="26" w:name="_Toc188453612"/>
      <w:bookmarkStart w:id="27" w:name="_Toc187151542"/>
      <w:r>
        <w:rPr>
          <w:rFonts w:hint="eastAsia"/>
        </w:rPr>
        <w:t>（二）编制依据</w:t>
      </w:r>
      <w:bookmarkEnd w:id="26"/>
      <w:bookmarkEnd w:id="27"/>
    </w:p>
    <w:p>
      <w:pPr>
        <w:pStyle w:val="6"/>
        <w:ind w:firstLine="562" w:firstLineChars="200"/>
        <w:rPr>
          <w:rFonts w:hint="default"/>
        </w:rPr>
      </w:pPr>
      <w:r>
        <w:t>1.项目前期工作进展情况</w:t>
      </w:r>
    </w:p>
    <w:p>
      <w:pPr>
        <w:pStyle w:val="98"/>
        <w:ind w:firstLine="560"/>
      </w:pPr>
      <w:r>
        <w:rPr>
          <w:rFonts w:hint="eastAsia"/>
        </w:rPr>
        <w:t>调兵山市硅灰石井巷矿始建于1983年，属于镇办集体企业。</w:t>
      </w:r>
    </w:p>
    <w:p>
      <w:pPr>
        <w:pStyle w:val="98"/>
        <w:ind w:firstLine="560"/>
      </w:pPr>
      <w:r>
        <w:rPr>
          <w:rFonts w:hint="eastAsia"/>
        </w:rPr>
        <w:t>2003年8月，辽宁矿产勘察院铁矿分院为矿山编制了《调兵山硅灰石井巷矿产资源开发利用方案》。</w:t>
      </w:r>
    </w:p>
    <w:p>
      <w:pPr>
        <w:pStyle w:val="98"/>
        <w:ind w:firstLine="560"/>
      </w:pPr>
      <w:r>
        <w:rPr>
          <w:rFonts w:hint="eastAsia"/>
        </w:rPr>
        <w:t>2009年1月，矿山委托本钢设计研究院有限责任公司编制完成《调兵山硅灰石井巷矿(硅灰石)地下开采初步设计》，2010年矿山开始进行了小规模的开采。</w:t>
      </w:r>
    </w:p>
    <w:p>
      <w:pPr>
        <w:pStyle w:val="98"/>
        <w:ind w:firstLine="560"/>
      </w:pPr>
      <w:r>
        <w:rPr>
          <w:rFonts w:hint="eastAsia"/>
        </w:rPr>
        <w:t>2015年矿山委托吉林东北亚国际工程技术集团有限公司编制《调兵山市硅灰石井巷矿矿产资源开发利用方案》，生产规模为1万t/a，矿山总服务年限为73年。因矿山整体服务年限过长，将矿区按标高划分为三个采区，165m标高以上为露天开采方式，已开采结束；165m～75m标高为二采区，75m标高以下为三采区。</w:t>
      </w:r>
    </w:p>
    <w:p>
      <w:pPr>
        <w:pStyle w:val="98"/>
        <w:ind w:firstLine="560"/>
      </w:pPr>
      <w:r>
        <w:rPr>
          <w:rFonts w:hint="eastAsia"/>
        </w:rPr>
        <w:t>2015年5月，矿山二采区取得安全生产许可证，矿山对矿区西南部165m标高以下矿体进行开采。2018年5月，由原辽宁省安全生产监督管理局对二采区换发了安全生产许可证，有效期至2021年5月22日。安全生产许可证到期后矿山一直处于停产状态。</w:t>
      </w:r>
    </w:p>
    <w:p>
      <w:pPr>
        <w:pStyle w:val="98"/>
        <w:ind w:firstLine="560"/>
      </w:pPr>
      <w:r>
        <w:rPr>
          <w:rFonts w:hint="eastAsia"/>
        </w:rPr>
        <w:t>2019年3月，矿山进行资源储量核实工作，提交了《资源储量分割报告》，报告经评审并备案，评审意见书：辽溪评(储)字铁分〔2019〕005号,备案文号：铁国土资储备字〔2019〕006号。</w:t>
      </w:r>
    </w:p>
    <w:p>
      <w:pPr>
        <w:pStyle w:val="98"/>
        <w:ind w:firstLine="560"/>
      </w:pPr>
      <w:r>
        <w:rPr>
          <w:rFonts w:hint="eastAsia"/>
        </w:rPr>
        <w:t>2019年5月,矿山编制完成了《矿产资源开发利用方案》，报告经评审并备案，评审意见书：铁自事评(开)字〔2019〕03号),完成了采矿权缩界和延续工作(避让调兵山市南城子山城遗址保护区)，同时取消了原方案划分的三采区，确定矿区165m标高以下为二采区。</w:t>
      </w:r>
    </w:p>
    <w:p>
      <w:pPr>
        <w:pStyle w:val="98"/>
        <w:ind w:firstLine="560"/>
      </w:pPr>
      <w:r>
        <w:rPr>
          <w:rFonts w:hint="eastAsia"/>
        </w:rPr>
        <w:t>2019年10月，矿山取得了缩界后的采矿许可证，批准开采矿种为硅灰石，地下开采方式，生产规模1万t/a，有效期至2029年6月。</w:t>
      </w:r>
    </w:p>
    <w:p>
      <w:pPr>
        <w:pStyle w:val="98"/>
        <w:ind w:firstLine="560"/>
      </w:pPr>
      <w:r>
        <w:rPr>
          <w:rFonts w:hint="eastAsia"/>
        </w:rPr>
        <w:t>2020年10月，矿山重新编制完成了《矿产资源开发利用方案(调整方案)》，方案经评审并通过，审查意见书：铁自事评(开)字〔2020〕001号，主要调整内容:取消露天开采方式，调整开采范围，优化矿井开拓、开采系统。</w:t>
      </w:r>
    </w:p>
    <w:p>
      <w:pPr>
        <w:pStyle w:val="98"/>
        <w:ind w:firstLine="560"/>
      </w:pPr>
      <w:r>
        <w:rPr>
          <w:rFonts w:hint="eastAsia"/>
        </w:rPr>
        <w:t>2021年10月，企业委托兰州有色冶金设计研究院有限公司沈阳分公司编制完成了《调兵山市硅灰石井巷矿(二采区)地下开采技术改造项目安全设施设计》，设计经评审并备案，批复文号：调应急发〔2021〕15号。设计基建期一年，受新冠疫情影响，矿山无法正常组织基建工作，设计批复到期后，导致矿山不具备改造设计的安全竣工验收条件。期间矿山一直处于矿井抽水和井巷维护状态。</w:t>
      </w:r>
    </w:p>
    <w:p>
      <w:pPr>
        <w:pStyle w:val="98"/>
        <w:ind w:firstLine="560"/>
      </w:pPr>
      <w:r>
        <w:t>202</w:t>
      </w:r>
      <w:r>
        <w:rPr>
          <w:rFonts w:hint="eastAsia"/>
        </w:rPr>
        <w:t>4年10月，企业为了重新开工建设，取得了调兵山市工业和信息化局关于项目备案证明,备案文号：调工信备〔2024〕13号。</w:t>
      </w:r>
    </w:p>
    <w:p>
      <w:pPr>
        <w:pStyle w:val="98"/>
        <w:ind w:firstLine="560"/>
      </w:pPr>
      <w:r>
        <w:rPr>
          <w:rFonts w:hint="eastAsia"/>
        </w:rPr>
        <w:t>2024年11月，企业重新提交了《补充勘探报告</w:t>
      </w:r>
      <w:bookmarkStart w:id="28" w:name="OLE_LINK6"/>
      <w:r>
        <w:rPr>
          <w:rFonts w:hint="eastAsia"/>
        </w:rPr>
        <w:t>》</w:t>
      </w:r>
      <w:bookmarkEnd w:id="28"/>
      <w:r>
        <w:rPr>
          <w:rFonts w:hint="eastAsia"/>
        </w:rPr>
        <w:t>，地质资料勘查程度达到勘探要求。</w:t>
      </w:r>
    </w:p>
    <w:p>
      <w:pPr>
        <w:pStyle w:val="6"/>
        <w:ind w:firstLine="562" w:firstLineChars="200"/>
        <w:rPr>
          <w:rFonts w:hint="default"/>
        </w:rPr>
      </w:pPr>
      <w:bookmarkStart w:id="29" w:name="_Toc7976"/>
      <w:bookmarkStart w:id="30" w:name="_Toc26301"/>
      <w:bookmarkStart w:id="31" w:name="_Toc80109262"/>
      <w:bookmarkStart w:id="32" w:name="_Toc167307768"/>
      <w:r>
        <w:t>2.法律法规及相关</w:t>
      </w:r>
      <w:bookmarkEnd w:id="29"/>
      <w:bookmarkEnd w:id="30"/>
      <w:bookmarkEnd w:id="31"/>
      <w:r>
        <w:t>文件</w:t>
      </w:r>
      <w:bookmarkEnd w:id="32"/>
    </w:p>
    <w:p>
      <w:pPr>
        <w:pStyle w:val="98"/>
        <w:ind w:firstLine="560"/>
      </w:pPr>
      <w:r>
        <w:rPr>
          <w:rFonts w:hint="eastAsia"/>
        </w:rPr>
        <w:t>(1)《中华人民共和国矿产资源法》；</w:t>
      </w:r>
    </w:p>
    <w:p>
      <w:pPr>
        <w:pStyle w:val="98"/>
        <w:ind w:firstLine="560"/>
      </w:pPr>
      <w:r>
        <w:rPr>
          <w:rFonts w:hint="eastAsia"/>
        </w:rPr>
        <w:t>(2)《矿产资源开采登记管理办法》（国务院令第241号）；</w:t>
      </w:r>
    </w:p>
    <w:p>
      <w:pPr>
        <w:pStyle w:val="98"/>
        <w:ind w:firstLine="560"/>
      </w:pPr>
      <w:r>
        <w:rPr>
          <w:rFonts w:hint="eastAsia"/>
        </w:rPr>
        <w:t>(3)《中共中央办公厅 国务院办公厅关于进一步加强矿山安全生产工作的意见》；</w:t>
      </w:r>
    </w:p>
    <w:p>
      <w:pPr>
        <w:pStyle w:val="98"/>
        <w:ind w:firstLine="560"/>
      </w:pPr>
      <w:r>
        <w:rPr>
          <w:rFonts w:hint="eastAsia"/>
        </w:rPr>
        <w:t>(4)《自然资源部关于进一步完善矿产资源勘查开采登记管理的通知》（自然资规[2023]4号）；</w:t>
      </w:r>
    </w:p>
    <w:p>
      <w:pPr>
        <w:pStyle w:val="98"/>
        <w:ind w:firstLine="560"/>
      </w:pPr>
      <w:r>
        <w:rPr>
          <w:rFonts w:hint="eastAsia"/>
        </w:rPr>
        <w:t>(5)《自然资源部关于深化矿产资源管理改革若干事项的意见》（自然资规[2023]6号）；</w:t>
      </w:r>
    </w:p>
    <w:p>
      <w:pPr>
        <w:pStyle w:val="98"/>
        <w:ind w:firstLine="560"/>
      </w:pPr>
      <w:r>
        <w:rPr>
          <w:rFonts w:hint="eastAsia"/>
        </w:rPr>
        <w:t>(6)《自然资源部 生态环境部 财政部 国家市场监督管理总局 国家金融监督管理总局 中国证券监督管理委员会 国家林业和草原局关于进一步加强绿色矿山建设的通知》（自然资规[2024]1号）</w:t>
      </w:r>
    </w:p>
    <w:p>
      <w:pPr>
        <w:pStyle w:val="98"/>
        <w:ind w:firstLine="560"/>
      </w:pPr>
      <w:r>
        <w:rPr>
          <w:rFonts w:hint="eastAsia"/>
        </w:rPr>
        <w:t>(7)《关于调整部分矿种矿山生产建设规模标准的通知》（国土资发[2004]08号）</w:t>
      </w:r>
    </w:p>
    <w:p>
      <w:pPr>
        <w:pStyle w:val="98"/>
        <w:ind w:firstLine="560"/>
      </w:pPr>
      <w:r>
        <w:rPr>
          <w:rFonts w:hint="eastAsia"/>
        </w:rPr>
        <w:t>(8)《关于加强矿产资源管理若干事项的通知》（辽自然资规[</w:t>
      </w:r>
      <w:r>
        <w:t>2023</w:t>
      </w:r>
      <w:r>
        <w:rPr>
          <w:rFonts w:hint="eastAsia"/>
        </w:rPr>
        <w:t>]</w:t>
      </w:r>
      <w:r>
        <w:t>1</w:t>
      </w:r>
      <w:r>
        <w:rPr>
          <w:rFonts w:hint="eastAsia"/>
        </w:rPr>
        <w:t>号）；</w:t>
      </w:r>
    </w:p>
    <w:p>
      <w:pPr>
        <w:pStyle w:val="98"/>
        <w:ind w:firstLine="560"/>
      </w:pPr>
      <w:r>
        <w:rPr>
          <w:rFonts w:hint="eastAsia"/>
        </w:rPr>
        <w:t>(9)《关于加强非煤矿山安全生产工作的指导意见》的通知（矿安[2022]4号），国家矿山安全监察局；</w:t>
      </w:r>
    </w:p>
    <w:p>
      <w:pPr>
        <w:pStyle w:val="98"/>
        <w:ind w:firstLine="560"/>
        <w:rPr>
          <w:szCs w:val="24"/>
        </w:rPr>
      </w:pPr>
      <w:r>
        <w:rPr>
          <w:rFonts w:hint="eastAsia"/>
          <w:szCs w:val="27"/>
          <w:shd w:val="clear" w:color="auto" w:fill="FFFFFF"/>
        </w:rPr>
        <w:t xml:space="preserve">(10) </w:t>
      </w:r>
      <w:r>
        <w:t>关于印发《辽宁省绿色矿山建设实施方案》的通知</w:t>
      </w:r>
      <w:r>
        <w:rPr>
          <w:rFonts w:hint="eastAsia"/>
        </w:rPr>
        <w:t>（</w:t>
      </w:r>
      <w:r>
        <w:rPr>
          <w:rFonts w:hint="eastAsia"/>
          <w:szCs w:val="24"/>
        </w:rPr>
        <w:t>辽宁省自然资源厅 辽宁省财政厅环境厅 辽宁省生态环境厅 中国银行保险监督管理委员会辽宁监管局 中国证券监督管理委员会辽宁监管局</w:t>
      </w:r>
      <w:r>
        <w:rPr>
          <w:rFonts w:hint="eastAsia"/>
        </w:rPr>
        <w:t>），</w:t>
      </w:r>
      <w:r>
        <w:rPr>
          <w:rFonts w:hint="eastAsia"/>
          <w:szCs w:val="24"/>
        </w:rPr>
        <w:t>2020年1月14日；</w:t>
      </w:r>
    </w:p>
    <w:p>
      <w:pPr>
        <w:pStyle w:val="98"/>
        <w:ind w:firstLine="560"/>
        <w:rPr>
          <w:szCs w:val="27"/>
          <w:shd w:val="clear" w:color="auto" w:fill="FFFFFF"/>
        </w:rPr>
      </w:pPr>
      <w:r>
        <w:rPr>
          <w:rFonts w:hint="eastAsia" w:asciiTheme="minorEastAsia" w:hAnsiTheme="minorEastAsia"/>
          <w:szCs w:val="21"/>
        </w:rPr>
        <w:t>(11) 《关于印发矿产资源(非油气)开发利用方案编制指南的通知》,(自然资办发[2024]33号)；</w:t>
      </w:r>
    </w:p>
    <w:p>
      <w:pPr>
        <w:pStyle w:val="98"/>
        <w:ind w:firstLine="560"/>
        <w:rPr>
          <w:szCs w:val="27"/>
          <w:shd w:val="clear" w:color="auto" w:fill="FFFFFF"/>
        </w:rPr>
      </w:pPr>
      <w:r>
        <w:rPr>
          <w:rFonts w:hint="eastAsia"/>
          <w:szCs w:val="27"/>
          <w:shd w:val="clear" w:color="auto" w:fill="FFFFFF"/>
        </w:rPr>
        <w:t>(12) 《关于印发&lt;辽宁省省级矿产资源勘查实施方案和开发利用方案评审工作规范(试行)&gt;的通知》(辽自然资办发[</w:t>
      </w:r>
      <w:r>
        <w:rPr>
          <w:szCs w:val="27"/>
          <w:shd w:val="clear" w:color="auto" w:fill="FFFFFF"/>
        </w:rPr>
        <w:t>2024</w:t>
      </w:r>
      <w:r>
        <w:rPr>
          <w:rFonts w:hint="eastAsia"/>
          <w:szCs w:val="27"/>
          <w:shd w:val="clear" w:color="auto" w:fill="FFFFFF"/>
        </w:rPr>
        <w:t>]81</w:t>
      </w:r>
      <w:r>
        <w:rPr>
          <w:szCs w:val="27"/>
          <w:shd w:val="clear" w:color="auto" w:fill="FFFFFF"/>
        </w:rPr>
        <w:t>号</w:t>
      </w:r>
      <w:r>
        <w:rPr>
          <w:rFonts w:hint="eastAsia"/>
          <w:szCs w:val="27"/>
          <w:shd w:val="clear" w:color="auto" w:fill="FFFFFF"/>
        </w:rPr>
        <w:t>)；</w:t>
      </w:r>
    </w:p>
    <w:p>
      <w:pPr>
        <w:pStyle w:val="98"/>
        <w:ind w:firstLine="560"/>
        <w:rPr>
          <w:szCs w:val="27"/>
          <w:shd w:val="clear" w:color="auto" w:fill="FFFFFF"/>
        </w:rPr>
      </w:pPr>
      <w:r>
        <w:rPr>
          <w:rFonts w:hint="eastAsia"/>
          <w:szCs w:val="27"/>
          <w:shd w:val="clear" w:color="auto" w:fill="FFFFFF"/>
        </w:rPr>
        <w:t>(13) 《关于商请处置非煤矿山安全设施设计与矿产资源开发利用方案不一致情形的复函》(辽自然资函[2024]649号)。</w:t>
      </w:r>
    </w:p>
    <w:p>
      <w:pPr>
        <w:pStyle w:val="6"/>
        <w:ind w:firstLine="562" w:firstLineChars="200"/>
        <w:rPr>
          <w:rFonts w:hint="default"/>
        </w:rPr>
      </w:pPr>
      <w:bookmarkStart w:id="33" w:name="_Toc167307769"/>
      <w:r>
        <w:t>3.设计规范及标准</w:t>
      </w:r>
      <w:bookmarkEnd w:id="33"/>
    </w:p>
    <w:p>
      <w:pPr>
        <w:pStyle w:val="98"/>
        <w:ind w:firstLine="560"/>
      </w:pPr>
      <w:r>
        <w:rPr>
          <w:rFonts w:hint="eastAsia"/>
        </w:rPr>
        <w:t>(1) 金属非金属矿山安全规程(GB 16423-2020)；</w:t>
      </w:r>
    </w:p>
    <w:p>
      <w:pPr>
        <w:pStyle w:val="98"/>
        <w:ind w:firstLine="560"/>
      </w:pPr>
      <w:r>
        <w:rPr>
          <w:rFonts w:hint="eastAsia"/>
        </w:rPr>
        <w:t>(2) 固体矿产资源储量分类(GB/T 17766-2020)；</w:t>
      </w:r>
    </w:p>
    <w:p>
      <w:pPr>
        <w:pStyle w:val="98"/>
        <w:ind w:firstLine="560"/>
      </w:pPr>
      <w:r>
        <w:rPr>
          <w:rFonts w:hint="eastAsia"/>
        </w:rPr>
        <w:t>(3) 矿产资源综合利用技术指标及其计算方法(GB/T 42249-2022)；</w:t>
      </w:r>
    </w:p>
    <w:p>
      <w:pPr>
        <w:pStyle w:val="98"/>
        <w:ind w:firstLine="560"/>
      </w:pPr>
      <w:r>
        <w:rPr>
          <w:rFonts w:hint="eastAsia"/>
        </w:rPr>
        <w:t>(4) 矿产资源储量规模划分标准(DZ/T 0400-2022)；</w:t>
      </w:r>
    </w:p>
    <w:p>
      <w:pPr>
        <w:pStyle w:val="98"/>
        <w:ind w:firstLine="560"/>
      </w:pPr>
      <w:r>
        <w:rPr>
          <w:rFonts w:hint="eastAsia"/>
        </w:rPr>
        <w:t>(5) 冶金矿山采矿设计规范(GB 50830-2013)；</w:t>
      </w:r>
    </w:p>
    <w:p>
      <w:pPr>
        <w:pStyle w:val="98"/>
        <w:ind w:firstLine="560"/>
      </w:pPr>
      <w:r>
        <w:rPr>
          <w:rFonts w:hint="eastAsia"/>
        </w:rPr>
        <w:t>(6) 区域地质图图例(GB/T 958-2015)；</w:t>
      </w:r>
    </w:p>
    <w:p>
      <w:pPr>
        <w:pStyle w:val="98"/>
        <w:ind w:firstLine="560"/>
      </w:pPr>
      <w:r>
        <w:rPr>
          <w:rFonts w:hint="eastAsia"/>
        </w:rPr>
        <w:t>(7) 非煤矿山采矿术语标准(GB/T 51339-2018)；</w:t>
      </w:r>
    </w:p>
    <w:p>
      <w:pPr>
        <w:pStyle w:val="98"/>
        <w:ind w:firstLine="560"/>
      </w:pPr>
      <w:r>
        <w:rPr>
          <w:rFonts w:hint="eastAsia"/>
        </w:rPr>
        <w:t>(8) 安全高效现代化矿井技术规范(MT/T 1167-2019)；</w:t>
      </w:r>
    </w:p>
    <w:p>
      <w:pPr>
        <w:pStyle w:val="98"/>
        <w:ind w:firstLine="560"/>
      </w:pPr>
      <w:r>
        <w:rPr>
          <w:rFonts w:hint="eastAsia"/>
        </w:rPr>
        <w:t>(9) 矿产资源“三率”指标要求 第6部分：石墨等26种非金属矿(</w:t>
      </w:r>
      <w:bookmarkStart w:id="34" w:name="OLE_LINK13"/>
      <w:bookmarkStart w:id="35" w:name="OLE_LINK12"/>
      <w:r>
        <w:rPr>
          <w:rFonts w:hint="eastAsia"/>
        </w:rPr>
        <w:t>DZ/T 0462.3-2023</w:t>
      </w:r>
      <w:bookmarkEnd w:id="34"/>
      <w:bookmarkEnd w:id="35"/>
      <w:r>
        <w:rPr>
          <w:rFonts w:hint="eastAsia"/>
        </w:rPr>
        <w:t>)。</w:t>
      </w:r>
    </w:p>
    <w:p>
      <w:pPr>
        <w:pStyle w:val="6"/>
        <w:ind w:firstLine="562" w:firstLineChars="200"/>
        <w:rPr>
          <w:rFonts w:hint="default"/>
        </w:rPr>
      </w:pPr>
      <w:r>
        <w:t>4.主要基础性资料</w:t>
      </w:r>
    </w:p>
    <w:p>
      <w:pPr>
        <w:pStyle w:val="98"/>
        <w:ind w:firstLine="560"/>
      </w:pPr>
      <w:r>
        <w:t>(</w:t>
      </w:r>
      <w:r>
        <w:rPr>
          <w:rFonts w:hint="eastAsia"/>
        </w:rPr>
        <w:t>1</w:t>
      </w:r>
      <w:r>
        <w:t>)《</w:t>
      </w:r>
      <w:r>
        <w:rPr>
          <w:rFonts w:hint="eastAsia"/>
        </w:rPr>
        <w:t>营业执照</w:t>
      </w:r>
      <w:r>
        <w:t>》</w:t>
      </w:r>
      <w:r>
        <w:rPr>
          <w:rFonts w:hint="eastAsia"/>
        </w:rPr>
        <w:t>(统一社会信用代码912112817308236158)，调兵山市市场监督管理局，2017.10.9；</w:t>
      </w:r>
    </w:p>
    <w:p>
      <w:pPr>
        <w:pStyle w:val="98"/>
        <w:ind w:firstLine="560"/>
      </w:pPr>
      <w:bookmarkStart w:id="36" w:name="OLE_LINK99"/>
      <w:bookmarkStart w:id="37" w:name="OLE_LINK100"/>
      <w:r>
        <w:t>(</w:t>
      </w:r>
      <w:r>
        <w:rPr>
          <w:rFonts w:hint="eastAsia"/>
        </w:rPr>
        <w:t>2</w:t>
      </w:r>
      <w:r>
        <w:t>)</w:t>
      </w:r>
      <w:bookmarkEnd w:id="36"/>
      <w:bookmarkEnd w:id="37"/>
      <w:r>
        <w:rPr>
          <w:rFonts w:hint="eastAsia"/>
        </w:rPr>
        <w:t>《采矿许可证》(</w:t>
      </w:r>
      <w:r>
        <w:t>证号：</w:t>
      </w:r>
      <w:bookmarkStart w:id="38" w:name="OLE_LINK307"/>
      <w:bookmarkStart w:id="39" w:name="OLE_LINK308"/>
      <w:r>
        <w:rPr>
          <w:rFonts w:hint="eastAsia"/>
          <w:lang w:bidi="zh-CN"/>
        </w:rPr>
        <w:t>C2112002009047120014013</w:t>
      </w:r>
      <w:bookmarkEnd w:id="38"/>
      <w:bookmarkEnd w:id="39"/>
      <w:r>
        <w:rPr>
          <w:rFonts w:hint="eastAsia"/>
        </w:rPr>
        <w:t>)，</w:t>
      </w:r>
      <w:r>
        <w:rPr>
          <w:rFonts w:hint="eastAsia"/>
          <w:lang w:bidi="zh-CN"/>
        </w:rPr>
        <w:t>铁岭市自然资源局</w:t>
      </w:r>
      <w:r>
        <w:rPr>
          <w:rFonts w:hint="eastAsia"/>
        </w:rPr>
        <w:t>，2019.10；</w:t>
      </w:r>
    </w:p>
    <w:p>
      <w:pPr>
        <w:pStyle w:val="98"/>
        <w:ind w:firstLine="560"/>
      </w:pPr>
      <w:r>
        <w:t>(</w:t>
      </w:r>
      <w:r>
        <w:rPr>
          <w:rFonts w:hint="eastAsia"/>
        </w:rPr>
        <w:t>3</w:t>
      </w:r>
      <w:r>
        <w:t>)</w:t>
      </w:r>
      <w:r>
        <w:rPr>
          <w:rFonts w:hint="eastAsia"/>
        </w:rPr>
        <w:t>《辽宁省调兵山市泉眼沟硅灰石矿资源储量分割报告》，辽宁省有色地质一〇四队有限责任公司，2019年3月；</w:t>
      </w:r>
    </w:p>
    <w:p>
      <w:pPr>
        <w:pStyle w:val="98"/>
        <w:ind w:firstLine="560"/>
      </w:pPr>
      <w:r>
        <w:t>(</w:t>
      </w:r>
      <w:r>
        <w:rPr>
          <w:rFonts w:hint="eastAsia"/>
        </w:rPr>
        <w:t>4</w:t>
      </w:r>
      <w:r>
        <w:t>)</w:t>
      </w:r>
      <w:r>
        <w:rPr>
          <w:rFonts w:hint="eastAsia"/>
        </w:rPr>
        <w:t>《〈辽宁省调兵山市泉眼沟硅灰石矿资源储量分割报告〉评审备案证明》，铁国土资储备字〔2019〕006号，2019年5月；</w:t>
      </w:r>
    </w:p>
    <w:p>
      <w:pPr>
        <w:pStyle w:val="98"/>
        <w:ind w:firstLine="560"/>
      </w:pPr>
      <w:r>
        <w:t>(</w:t>
      </w:r>
      <w:r>
        <w:rPr>
          <w:rFonts w:hint="eastAsia"/>
        </w:rPr>
        <w:t>5</w:t>
      </w:r>
      <w:r>
        <w:t>)</w:t>
      </w:r>
      <w:r>
        <w:rPr>
          <w:rFonts w:hint="eastAsia"/>
        </w:rPr>
        <w:t>《〈辽宁省调兵山市泉眼沟硅灰石矿资源储量分割报告〉评审意见书》，辽溪评(储)字铁分〔2019〕005号，辽宁溪源土地矿产资源评估有限公司，2019年4月；</w:t>
      </w:r>
    </w:p>
    <w:p>
      <w:pPr>
        <w:pStyle w:val="98"/>
        <w:ind w:firstLine="560"/>
      </w:pPr>
      <w:r>
        <w:t>(</w:t>
      </w:r>
      <w:r>
        <w:rPr>
          <w:rFonts w:hint="eastAsia"/>
        </w:rPr>
        <w:t>6</w:t>
      </w:r>
      <w:r>
        <w:t>)</w:t>
      </w:r>
      <w:r>
        <w:rPr>
          <w:rFonts w:hint="eastAsia"/>
        </w:rPr>
        <w:t>《调兵山市硅灰石井巷矿矿产资源开发利用方案》,</w:t>
      </w:r>
      <w:bookmarkStart w:id="40" w:name="OLE_LINK86"/>
      <w:bookmarkStart w:id="41" w:name="OLE_LINK87"/>
      <w:r>
        <w:rPr>
          <w:rFonts w:hint="eastAsia"/>
        </w:rPr>
        <w:t>沈阳鼎唐矿业咨询有限公司</w:t>
      </w:r>
      <w:bookmarkEnd w:id="40"/>
      <w:bookmarkEnd w:id="41"/>
      <w:r>
        <w:rPr>
          <w:rFonts w:hint="eastAsia"/>
        </w:rPr>
        <w:t>，2019年5月；</w:t>
      </w:r>
    </w:p>
    <w:p>
      <w:pPr>
        <w:pStyle w:val="98"/>
        <w:ind w:firstLine="560"/>
      </w:pPr>
      <w:r>
        <w:t>(</w:t>
      </w:r>
      <w:r>
        <w:rPr>
          <w:rFonts w:hint="eastAsia"/>
        </w:rPr>
        <w:t>7</w:t>
      </w:r>
      <w:r>
        <w:t>)</w:t>
      </w:r>
      <w:r>
        <w:rPr>
          <w:rFonts w:hint="eastAsia"/>
        </w:rPr>
        <w:t>《&lt;调兵山市硅灰石井巷矿矿产资源开发利用方案&gt;审查意见书》，铁自事评(开)字〔2019〕03号，2019年5月；</w:t>
      </w:r>
    </w:p>
    <w:p>
      <w:pPr>
        <w:pStyle w:val="98"/>
        <w:ind w:firstLine="560"/>
      </w:pPr>
      <w:r>
        <w:t>(</w:t>
      </w:r>
      <w:r>
        <w:rPr>
          <w:rFonts w:hint="eastAsia"/>
        </w:rPr>
        <w:t>8</w:t>
      </w:r>
      <w:r>
        <w:t>)</w:t>
      </w:r>
      <w:r>
        <w:rPr>
          <w:rFonts w:hint="eastAsia"/>
        </w:rPr>
        <w:t>《调兵山市硅灰石井巷矿矿山地质环境保护与土地复垦方案》，辽宁省有色地质局一〇四队有限责任公司，2019年7月；</w:t>
      </w:r>
    </w:p>
    <w:p>
      <w:pPr>
        <w:pStyle w:val="98"/>
        <w:ind w:firstLine="560"/>
      </w:pPr>
      <w:r>
        <w:t>(</w:t>
      </w:r>
      <w:r>
        <w:rPr>
          <w:rFonts w:hint="eastAsia"/>
        </w:rPr>
        <w:t>9</w:t>
      </w:r>
      <w:r>
        <w:t>)</w:t>
      </w:r>
      <w:r>
        <w:rPr>
          <w:rFonts w:hint="eastAsia"/>
        </w:rPr>
        <w:t>《&lt;调兵山市硅灰石井巷矿矿山地质环境保护与土地复垦方案&gt;评审意见书》，铁自事评(地)字〔2019〕4号，铁岭市自然资源事务服务中心，2019年11月；</w:t>
      </w:r>
    </w:p>
    <w:p>
      <w:pPr>
        <w:pStyle w:val="98"/>
        <w:ind w:firstLine="560"/>
      </w:pPr>
      <w:r>
        <w:t>(</w:t>
      </w:r>
      <w:r>
        <w:rPr>
          <w:rFonts w:hint="eastAsia"/>
        </w:rPr>
        <w:t>10</w:t>
      </w:r>
      <w:r>
        <w:t>)</w:t>
      </w:r>
      <w:r>
        <w:rPr>
          <w:rFonts w:hint="eastAsia"/>
        </w:rPr>
        <w:t>《调兵山市硅灰石井巷矿矿产资源开发利用方案(调整方案)》，调兵山市硅灰石井巷矿，2020年10月；</w:t>
      </w:r>
    </w:p>
    <w:p>
      <w:pPr>
        <w:pStyle w:val="98"/>
        <w:ind w:firstLine="560"/>
      </w:pPr>
      <w:r>
        <w:t>(</w:t>
      </w:r>
      <w:r>
        <w:rPr>
          <w:rFonts w:hint="eastAsia"/>
        </w:rPr>
        <w:t>11</w:t>
      </w:r>
      <w:r>
        <w:t>)</w:t>
      </w:r>
      <w:r>
        <w:rPr>
          <w:rFonts w:hint="eastAsia"/>
        </w:rPr>
        <w:t>《&lt;调兵山市硅灰石井巷矿矿产资源开发利用方案(调整方案)&gt;审查意见书》，铁自事评(开)字〔2020〕001号，2020年10月；</w:t>
      </w:r>
    </w:p>
    <w:p>
      <w:pPr>
        <w:pStyle w:val="98"/>
        <w:ind w:firstLine="560"/>
      </w:pPr>
      <w:r>
        <w:t>(</w:t>
      </w:r>
      <w:r>
        <w:rPr>
          <w:rFonts w:hint="eastAsia"/>
        </w:rPr>
        <w:t>12</w:t>
      </w:r>
      <w:r>
        <w:t>)</w:t>
      </w:r>
      <w:r>
        <w:rPr>
          <w:rFonts w:hint="eastAsia"/>
        </w:rPr>
        <w:t>《调兵山市硅灰石井巷矿(二采区)非煤地下</w:t>
      </w:r>
      <w:bookmarkStart w:id="42" w:name="_Hlk160522611"/>
      <w:r>
        <w:rPr>
          <w:rFonts w:hint="eastAsia"/>
        </w:rPr>
        <w:t>矿山隐蔽致灾因素普查治理报告</w:t>
      </w:r>
      <w:bookmarkEnd w:id="42"/>
      <w:r>
        <w:rPr>
          <w:rFonts w:hint="eastAsia"/>
        </w:rPr>
        <w:t>》，兰州有色冶金设计研究院有限公司沈阳分公司，2023年12月；</w:t>
      </w:r>
    </w:p>
    <w:p>
      <w:pPr>
        <w:pStyle w:val="98"/>
        <w:ind w:firstLine="560"/>
      </w:pPr>
      <w:r>
        <w:t>(</w:t>
      </w:r>
      <w:r>
        <w:rPr>
          <w:rFonts w:hint="eastAsia"/>
        </w:rPr>
        <w:t>13</w:t>
      </w:r>
      <w:r>
        <w:t>)</w:t>
      </w:r>
      <w:r>
        <w:rPr>
          <w:rFonts w:hint="eastAsia"/>
        </w:rPr>
        <w:t>《</w:t>
      </w:r>
      <w:bookmarkStart w:id="43" w:name="OLE_LINK293"/>
      <w:bookmarkStart w:id="44" w:name="OLE_LINK292"/>
      <w:bookmarkStart w:id="45" w:name="OLE_LINK387"/>
      <w:bookmarkStart w:id="46" w:name="OLE_LINK386"/>
      <w:r>
        <w:rPr>
          <w:rFonts w:hint="eastAsia"/>
        </w:rPr>
        <w:t>辽宁省调兵山市泉眼沟矿区硅灰石矿补充勘探报告</w:t>
      </w:r>
      <w:bookmarkEnd w:id="43"/>
      <w:bookmarkEnd w:id="44"/>
      <w:r>
        <w:rPr>
          <w:rFonts w:hint="eastAsia"/>
        </w:rPr>
        <w:t>》，调兵山市硅灰石矿井巷矿，2024年11月；</w:t>
      </w:r>
      <w:bookmarkEnd w:id="45"/>
      <w:bookmarkEnd w:id="46"/>
    </w:p>
    <w:p>
      <w:pPr>
        <w:pStyle w:val="98"/>
        <w:ind w:firstLine="560"/>
      </w:pPr>
      <w:r>
        <w:t>(</w:t>
      </w:r>
      <w:r>
        <w:rPr>
          <w:rFonts w:hint="eastAsia"/>
        </w:rPr>
        <w:t>14</w:t>
      </w:r>
      <w:r>
        <w:t>)</w:t>
      </w:r>
      <w:r>
        <w:rPr>
          <w:rFonts w:hint="eastAsia"/>
        </w:rPr>
        <w:t>《&lt;辽宁省调兵山市泉眼沟矿区硅灰石矿补充勘探报告&gt;评审意见书》</w:t>
      </w:r>
      <w:r>
        <w:rPr>
          <w:rFonts w:hint="eastAsia"/>
          <w:lang w:bidi="zh-CN"/>
        </w:rPr>
        <w:t>，2024年11月；</w:t>
      </w:r>
    </w:p>
    <w:p>
      <w:pPr>
        <w:pStyle w:val="98"/>
        <w:ind w:firstLine="560"/>
      </w:pPr>
      <w:r>
        <w:t>(</w:t>
      </w:r>
      <w:r>
        <w:rPr>
          <w:rFonts w:hint="eastAsia"/>
        </w:rPr>
        <w:t>15</w:t>
      </w:r>
      <w:r>
        <w:t>)</w:t>
      </w:r>
      <w:r>
        <w:rPr>
          <w:rFonts w:hint="eastAsia"/>
        </w:rPr>
        <w:t xml:space="preserve"> </w:t>
      </w:r>
      <w:r>
        <w:t>矿方提供的其他材料。</w:t>
      </w:r>
    </w:p>
    <w:p>
      <w:pPr>
        <w:pStyle w:val="98"/>
        <w:ind w:firstLine="560"/>
      </w:pPr>
      <w:r>
        <w:rPr>
          <w:rFonts w:hint="eastAsia"/>
        </w:rPr>
        <w:t>① 矿山地表现状实测图纸；</w:t>
      </w:r>
    </w:p>
    <w:p>
      <w:pPr>
        <w:pStyle w:val="98"/>
        <w:ind w:firstLine="560"/>
      </w:pPr>
      <w:r>
        <w:rPr>
          <w:rFonts w:hint="eastAsia"/>
        </w:rPr>
        <w:t>② 矿区范围内地表地类图纸；</w:t>
      </w:r>
    </w:p>
    <w:p>
      <w:pPr>
        <w:pStyle w:val="98"/>
        <w:ind w:firstLine="560"/>
        <w:rPr>
          <w:rFonts w:hAnsi="宋体" w:cs="宋体"/>
        </w:rPr>
      </w:pPr>
      <w:r>
        <w:rPr>
          <w:rFonts w:hint="eastAsia"/>
        </w:rPr>
        <w:t>③ 矿区周边环境图纸。</w:t>
      </w:r>
      <w:r>
        <w:rPr>
          <w:rFonts w:hAnsi="宋体" w:cs="宋体"/>
        </w:rPr>
        <w:br w:type="page"/>
      </w:r>
    </w:p>
    <w:p>
      <w:pPr>
        <w:pStyle w:val="3"/>
        <w:jc w:val="center"/>
        <w:rPr>
          <w:rFonts w:ascii="宋体" w:hAnsi="宋体" w:eastAsia="宋体" w:cs="宋体"/>
          <w:sz w:val="28"/>
          <w:szCs w:val="28"/>
        </w:rPr>
      </w:pPr>
      <w:bookmarkStart w:id="47" w:name="_Toc187151543"/>
      <w:bookmarkStart w:id="48" w:name="_Toc188453613"/>
      <w:r>
        <w:rPr>
          <w:rFonts w:hint="eastAsia"/>
        </w:rPr>
        <w:t>一、矿山基本情况</w:t>
      </w:r>
      <w:bookmarkEnd w:id="47"/>
      <w:bookmarkEnd w:id="48"/>
    </w:p>
    <w:p>
      <w:pPr>
        <w:pStyle w:val="467"/>
        <w:ind w:left="0" w:firstLine="602" w:firstLineChars="200"/>
      </w:pPr>
      <w:bookmarkStart w:id="49" w:name="_Toc7440_WPSOffice_Level2"/>
      <w:bookmarkStart w:id="50" w:name="_Toc20026_WPSOffice_Level2"/>
      <w:bookmarkStart w:id="51" w:name="_Toc80109223"/>
      <w:bookmarkStart w:id="52" w:name="_Toc30486_WPSOffice_Level2"/>
      <w:bookmarkStart w:id="53" w:name="_Toc22677"/>
      <w:bookmarkStart w:id="54" w:name="_Toc18595_WPSOffice_Level2"/>
      <w:bookmarkStart w:id="55" w:name="_Toc167307735"/>
      <w:bookmarkStart w:id="56" w:name="_Toc187151544"/>
      <w:bookmarkStart w:id="57" w:name="_Toc188453614"/>
      <w:r>
        <w:rPr>
          <w:rFonts w:hint="eastAsia"/>
        </w:rPr>
        <w:t>（一）</w:t>
      </w:r>
      <w:bookmarkEnd w:id="49"/>
      <w:bookmarkEnd w:id="50"/>
      <w:bookmarkEnd w:id="51"/>
      <w:bookmarkEnd w:id="52"/>
      <w:bookmarkEnd w:id="53"/>
      <w:bookmarkEnd w:id="54"/>
      <w:r>
        <w:rPr>
          <w:rFonts w:hint="eastAsia"/>
        </w:rPr>
        <w:t>地理位置与区域概况</w:t>
      </w:r>
      <w:bookmarkEnd w:id="55"/>
      <w:bookmarkEnd w:id="56"/>
      <w:bookmarkEnd w:id="57"/>
    </w:p>
    <w:p>
      <w:pPr>
        <w:pStyle w:val="6"/>
        <w:ind w:firstLine="562" w:firstLineChars="200"/>
        <w:rPr>
          <w:rFonts w:hint="default"/>
        </w:rPr>
      </w:pPr>
      <w:r>
        <w:t>1.矿区位置及交通</w:t>
      </w:r>
    </w:p>
    <w:p>
      <w:pPr>
        <w:pStyle w:val="98"/>
        <w:ind w:firstLine="560"/>
      </w:pPr>
      <w:bookmarkStart w:id="58" w:name="_Toc142406868"/>
      <w:bookmarkStart w:id="59" w:name="_Toc146115697"/>
      <w:bookmarkStart w:id="60" w:name="_Toc146115780"/>
      <w:r>
        <w:rPr>
          <w:rFonts w:hint="eastAsia"/>
        </w:rPr>
        <w:t>调兵山市硅灰石井巷矿位于辽宁省</w:t>
      </w:r>
      <w:bookmarkStart w:id="61" w:name="OLE_LINK305"/>
      <w:bookmarkStart w:id="62" w:name="OLE_LINK304"/>
      <w:r>
        <w:rPr>
          <w:rFonts w:hint="eastAsia"/>
        </w:rPr>
        <w:t>调兵山市晓南镇泉眼沟村</w:t>
      </w:r>
      <w:bookmarkEnd w:id="61"/>
      <w:bookmarkEnd w:id="62"/>
      <w:r>
        <w:rPr>
          <w:rFonts w:hint="eastAsia"/>
        </w:rPr>
        <w:t>辖区内。区内公路交通比较便利，详见交通位置图。</w:t>
      </w:r>
    </w:p>
    <w:p>
      <w:pPr>
        <w:pStyle w:val="6"/>
        <w:ind w:firstLine="562" w:firstLineChars="200"/>
        <w:rPr>
          <w:rFonts w:hint="default"/>
        </w:rPr>
      </w:pPr>
      <w:r>
        <w:t>2.矿区</w:t>
      </w:r>
      <w:bookmarkEnd w:id="58"/>
      <w:bookmarkEnd w:id="59"/>
      <w:bookmarkEnd w:id="60"/>
      <w:r>
        <w:t>地形地貌</w:t>
      </w:r>
    </w:p>
    <w:p>
      <w:pPr>
        <w:pStyle w:val="98"/>
        <w:ind w:firstLine="560"/>
      </w:pPr>
      <w:r>
        <w:rPr>
          <w:rFonts w:hint="eastAsia"/>
        </w:rPr>
        <w:t>矿区为低山丘陵地区，最高标高298.6m，最低侵蚀基准面为100m，区内仅有一条季节性河沟，近东西向，沟宽约90-100m，长约1200m，无较大河流，植被覆盖中等，多为人工林。</w:t>
      </w:r>
    </w:p>
    <w:p>
      <w:pPr>
        <w:pStyle w:val="6"/>
        <w:ind w:firstLine="562" w:firstLineChars="200"/>
        <w:rPr>
          <w:rFonts w:hint="default"/>
        </w:rPr>
      </w:pPr>
      <w:r>
        <w:t>3.气象条件</w:t>
      </w:r>
    </w:p>
    <w:p>
      <w:pPr>
        <w:pStyle w:val="98"/>
        <w:ind w:firstLine="560"/>
      </w:pPr>
      <w:r>
        <w:rPr>
          <w:rFonts w:hint="eastAsia"/>
        </w:rPr>
        <w:t>气候属北温带半湿润区大陆性季风气候，四季分明，年平均降水量800mm，主要集中在每年的7、8、9月份，7月份降水量最大，7平均降水量176.8mm。极端最高气温35.9℃，极端最低气温-34.3℃，年平均气温6.85℃，平均霜冻期206天，平均冻土深度1.38m。</w:t>
      </w:r>
    </w:p>
    <w:p>
      <w:pPr>
        <w:pStyle w:val="98"/>
        <w:ind w:firstLine="0" w:firstLineChars="0"/>
        <w:jc w:val="center"/>
      </w:pPr>
      <w:r>
        <w:drawing>
          <wp:inline distT="0" distB="0" distL="0" distR="0">
            <wp:extent cx="5255260" cy="5309870"/>
            <wp:effectExtent l="0" t="0" r="2540" b="508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5255260" cy="5309870"/>
                    </a:xfrm>
                    <a:prstGeom prst="rect">
                      <a:avLst/>
                    </a:prstGeom>
                    <a:noFill/>
                  </pic:spPr>
                </pic:pic>
              </a:graphicData>
            </a:graphic>
          </wp:inline>
        </w:drawing>
      </w:r>
    </w:p>
    <w:p>
      <w:pPr>
        <w:pStyle w:val="98"/>
        <w:ind w:firstLine="0" w:firstLineChars="0"/>
        <w:jc w:val="center"/>
        <w:rPr>
          <w:b/>
        </w:rPr>
      </w:pPr>
      <w:r>
        <w:rPr>
          <w:rFonts w:hint="eastAsia"/>
          <w:b/>
        </w:rPr>
        <w:t>图1</w:t>
      </w:r>
      <w:r>
        <w:rPr>
          <w:b/>
        </w:rPr>
        <w:t xml:space="preserve">-1 </w:t>
      </w:r>
      <w:r>
        <w:rPr>
          <w:rFonts w:hint="eastAsia"/>
          <w:b/>
        </w:rPr>
        <w:t>调兵山市硅灰石井巷矿交通位置图</w:t>
      </w:r>
    </w:p>
    <w:p>
      <w:pPr>
        <w:pStyle w:val="6"/>
        <w:ind w:firstLine="562" w:firstLineChars="200"/>
        <w:rPr>
          <w:rFonts w:hint="default"/>
        </w:rPr>
      </w:pPr>
      <w:r>
        <w:t>4.经济状况</w:t>
      </w:r>
    </w:p>
    <w:p>
      <w:pPr>
        <w:pStyle w:val="98"/>
        <w:ind w:firstLine="560"/>
      </w:pPr>
      <w:r>
        <w:rPr>
          <w:rFonts w:hint="eastAsia"/>
        </w:rPr>
        <w:t>调兵山市全境已查明有煤炭、煤层气、硅灰石、闪长岩、建筑用花岗石等矿产资源5种，其中煤炭储量9.07亿t，煤炭年产量约700万t。境内西部山区硅灰石、建筑用花岗岩储量丰富，其中硅灰石保有储量(矿石量)达1152万t，是陶瓷等工业的重要原料；建筑用花岗岩储量在1000万m</w:t>
      </w:r>
      <w:r>
        <w:rPr>
          <w:rFonts w:hint="eastAsia"/>
          <w:vertAlign w:val="superscript"/>
        </w:rPr>
        <w:t>3</w:t>
      </w:r>
      <w:r>
        <w:rPr>
          <w:rFonts w:hint="eastAsia"/>
        </w:rPr>
        <w:t>以上，可做一般建筑石料。除此外，还有一定量的闪长岩，现保有储量为83.38万m</w:t>
      </w:r>
      <w:r>
        <w:rPr>
          <w:rFonts w:hint="eastAsia"/>
          <w:vertAlign w:val="superscript"/>
        </w:rPr>
        <w:t>3</w:t>
      </w:r>
      <w:r>
        <w:rPr>
          <w:rFonts w:hint="eastAsia"/>
        </w:rPr>
        <w:t>，是一种高级的装饰石材。</w:t>
      </w:r>
    </w:p>
    <w:p>
      <w:pPr>
        <w:pStyle w:val="98"/>
        <w:ind w:firstLine="560"/>
      </w:pPr>
      <w:r>
        <w:rPr>
          <w:rFonts w:hint="eastAsia"/>
        </w:rPr>
        <w:t>调兵山市工业经济基础雄厚。中国大唐、国投集团、京粮集团等国内知名企业先后在这里落户。结合资源型城市转型发展的现实需要，构建了“三大两特一精”产业体系，打造了“大能源”“大健康”“大文旅”“特色新型材料”“特色智能装备制造”“精品农业”六大产业集群，产业集聚效应逐步显现。</w:t>
      </w:r>
    </w:p>
    <w:p>
      <w:pPr>
        <w:pStyle w:val="98"/>
        <w:ind w:firstLine="560"/>
      </w:pPr>
      <w:r>
        <w:rPr>
          <w:rFonts w:hint="eastAsia"/>
        </w:rPr>
        <w:t>当地居民以农业生产为主，农作物主要为玉米、高梁、谷类和小杂粮等。总体生活水平较其它地区相对较高，农闲时以进城打工或去矿山打工，农村剩余劳动力较充足。农用高压线路已接入矿区，矿山动力用电电源充足，沟谷第四系潜水可满足矿山的工业用水和生活用水。地方工业以开发煤炭、硅灰石资源为主。</w:t>
      </w:r>
    </w:p>
    <w:p>
      <w:pPr>
        <w:pStyle w:val="6"/>
        <w:ind w:firstLine="562" w:firstLineChars="200"/>
        <w:rPr>
          <w:rFonts w:hint="default"/>
        </w:rPr>
      </w:pPr>
      <w:r>
        <w:t>5.周边情况</w:t>
      </w:r>
    </w:p>
    <w:p>
      <w:pPr>
        <w:pStyle w:val="98"/>
        <w:numPr>
          <w:ilvl w:val="0"/>
          <w:numId w:val="2"/>
        </w:numPr>
        <w:ind w:firstLine="560"/>
        <w:rPr>
          <w:lang w:bidi="zh-CN"/>
        </w:rPr>
      </w:pPr>
      <w:r>
        <w:rPr>
          <w:rFonts w:hint="eastAsia"/>
          <w:lang w:bidi="zh-CN"/>
        </w:rPr>
        <w:t>相邻矿山</w:t>
      </w:r>
    </w:p>
    <w:p>
      <w:pPr>
        <w:pStyle w:val="98"/>
        <w:ind w:firstLine="560"/>
      </w:pPr>
      <w:bookmarkStart w:id="63" w:name="OLE_LINK9"/>
      <w:bookmarkStart w:id="64" w:name="OLE_LINK8"/>
      <w:r>
        <w:rPr>
          <w:rFonts w:hint="eastAsia"/>
        </w:rPr>
        <w:t>矿区西南侧为沈阳金达矿业有限公司，两矿区间最近距离91m，本矿山设计岩石移动监测范围距沈阳金达矿业有限公司矿区范围最近距离170m；该矿山目前暂未开展安全设施设计工作。</w:t>
      </w:r>
    </w:p>
    <w:p>
      <w:pPr>
        <w:pStyle w:val="98"/>
        <w:ind w:firstLine="560"/>
      </w:pPr>
      <w:r>
        <w:rPr>
          <w:rFonts w:hint="eastAsia"/>
        </w:rPr>
        <w:t>两矿山开采对象为同一条矿体，两矿区范围相近隔离带处有南城子山遗址保护区，该矿山设计时需考虑保护区的安全保护距离，故两矿山岩石移动监测范围距离可确保不小于94m，满足国家矿山安全监察局《关于加强非煤矿山安全生产工作的指导意见》(矿安〔2022〕4号)第5.1条：“不同开采主体相邻金属非金属地下矿山之间应当留设不小于50m的保安矿(岩)柱”文件的要求。相邻矿山矿井开采相互之间无影响。</w:t>
      </w:r>
      <w:bookmarkEnd w:id="63"/>
      <w:bookmarkEnd w:id="64"/>
    </w:p>
    <w:p>
      <w:pPr>
        <w:pStyle w:val="98"/>
        <w:numPr>
          <w:ilvl w:val="0"/>
          <w:numId w:val="2"/>
        </w:numPr>
        <w:ind w:firstLine="560"/>
        <w:rPr>
          <w:lang w:bidi="zh-CN"/>
        </w:rPr>
      </w:pPr>
      <w:r>
        <w:rPr>
          <w:rFonts w:hint="eastAsia"/>
          <w:lang w:bidi="zh-CN"/>
        </w:rPr>
        <w:t>村庄</w:t>
      </w:r>
    </w:p>
    <w:p>
      <w:pPr>
        <w:pStyle w:val="98"/>
        <w:ind w:firstLine="560"/>
      </w:pPr>
      <w:bookmarkStart w:id="65" w:name="OLE_LINK11"/>
      <w:bookmarkStart w:id="66" w:name="OLE_LINK10"/>
      <w:bookmarkStart w:id="67" w:name="OLE_LINK50"/>
      <w:r>
        <w:rPr>
          <w:rFonts w:hint="eastAsia"/>
        </w:rPr>
        <w:t>设计开采范围东北侧有泉眼沟村居民住宅。居民住宅距设计开采范围最近距离为200m；距设计开采岩石移动监测范围最近距离为267m；矿山爆破作业点距居民住宅距最近距离为325m。居民住宅不受矿井开采地表沉降影响。</w:t>
      </w:r>
      <w:bookmarkEnd w:id="65"/>
      <w:bookmarkEnd w:id="66"/>
      <w:bookmarkEnd w:id="67"/>
    </w:p>
    <w:p>
      <w:pPr>
        <w:pStyle w:val="98"/>
        <w:numPr>
          <w:ilvl w:val="0"/>
          <w:numId w:val="2"/>
        </w:numPr>
        <w:ind w:firstLine="560"/>
      </w:pPr>
      <w:bookmarkStart w:id="68" w:name="OLE_LINK23"/>
      <w:bookmarkStart w:id="69" w:name="OLE_LINK20"/>
      <w:bookmarkStart w:id="70" w:name="OLE_LINK19"/>
      <w:bookmarkStart w:id="71" w:name="OLE_LINK56"/>
      <w:bookmarkStart w:id="72" w:name="OLE_LINK55"/>
      <w:r>
        <w:rPr>
          <w:rFonts w:hint="eastAsia"/>
        </w:rPr>
        <w:t>南城子山遗址保护区</w:t>
      </w:r>
      <w:bookmarkEnd w:id="68"/>
      <w:bookmarkEnd w:id="69"/>
      <w:bookmarkEnd w:id="70"/>
    </w:p>
    <w:bookmarkEnd w:id="71"/>
    <w:bookmarkEnd w:id="72"/>
    <w:p>
      <w:pPr>
        <w:pStyle w:val="98"/>
        <w:ind w:firstLine="560"/>
      </w:pPr>
      <w:bookmarkStart w:id="73" w:name="_Hlk186036830"/>
      <w:bookmarkStart w:id="74" w:name="OLE_LINK22"/>
      <w:bookmarkStart w:id="75" w:name="OLE_LINK21"/>
      <w:bookmarkStart w:id="76" w:name="OLE_LINK24"/>
      <w:r>
        <w:rPr>
          <w:rFonts w:hint="eastAsia"/>
        </w:rPr>
        <w:t>矿区西南侧为</w:t>
      </w:r>
      <w:bookmarkStart w:id="77" w:name="OLE_LINK17"/>
      <w:bookmarkStart w:id="78" w:name="OLE_LINK16"/>
      <w:r>
        <w:rPr>
          <w:rFonts w:hint="eastAsia"/>
        </w:rPr>
        <w:t>南城子山遗址</w:t>
      </w:r>
      <w:r>
        <w:rPr>
          <w:rFonts w:hint="eastAsia"/>
          <w:bCs/>
        </w:rPr>
        <w:t>保护区</w:t>
      </w:r>
      <w:bookmarkEnd w:id="77"/>
      <w:bookmarkEnd w:id="78"/>
      <w:r>
        <w:rPr>
          <w:rFonts w:hint="eastAsia"/>
          <w:bCs/>
        </w:rPr>
        <w:t>，采矿权缩界后</w:t>
      </w:r>
      <w:r>
        <w:rPr>
          <w:rFonts w:hint="eastAsia"/>
        </w:rPr>
        <w:t>，矿区范围距</w:t>
      </w:r>
      <w:r>
        <w:rPr>
          <w:rFonts w:hint="eastAsia"/>
          <w:bCs/>
        </w:rPr>
        <w:t>南城子山遗址保护区</w:t>
      </w:r>
      <w:r>
        <w:rPr>
          <w:rFonts w:hint="eastAsia"/>
        </w:rPr>
        <w:t>最近距离97m。</w:t>
      </w:r>
    </w:p>
    <w:p>
      <w:pPr>
        <w:pStyle w:val="98"/>
        <w:ind w:firstLine="560"/>
      </w:pPr>
      <w:r>
        <w:rPr>
          <w:rFonts w:hint="eastAsia"/>
        </w:rPr>
        <w:t>设计确定沿矿区西南边界为基准，以70°角向深部留设保安矿柱，该矿柱内矿体永久损失，不进行开采，设计岩石移动监测范围在矿区范围内，</w:t>
      </w:r>
      <w:r>
        <w:rPr>
          <w:rFonts w:hint="eastAsia"/>
          <w:bCs/>
        </w:rPr>
        <w:t>南城子山遗址保护区距</w:t>
      </w:r>
      <w:r>
        <w:rPr>
          <w:rFonts w:hint="eastAsia"/>
        </w:rPr>
        <w:t>地表岩石移动监测范围最近距离170m。矿山爆破作业点距南城子山遗址保护区最近距离为214m。南城子山遗址保护区不受矿井开采地表沉降影响。</w:t>
      </w:r>
    </w:p>
    <w:p>
      <w:pPr>
        <w:pStyle w:val="98"/>
        <w:numPr>
          <w:ilvl w:val="0"/>
          <w:numId w:val="2"/>
        </w:numPr>
        <w:ind w:firstLine="560"/>
      </w:pPr>
      <w:r>
        <w:rPr>
          <w:rFonts w:hint="eastAsia"/>
        </w:rPr>
        <w:t>爆破振动速度计算</w:t>
      </w:r>
    </w:p>
    <w:bookmarkEnd w:id="73"/>
    <w:p>
      <w:pPr>
        <w:pStyle w:val="98"/>
        <w:ind w:firstLine="560"/>
      </w:pPr>
      <w:bookmarkStart w:id="79" w:name="OLE_LINK84"/>
      <w:bookmarkStart w:id="80" w:name="OLE_LINK85"/>
      <w:r>
        <w:rPr>
          <w:rFonts w:hint="eastAsia"/>
        </w:rPr>
        <w:t>考虑爆破振动的影响，根据《爆破安全规程》(GB6722-2014)爆破振动安全允许距离公式计算周边设施实际振动速度。参数选取根据矿山地质条件、采场爆破作业地点至保护对象的直线距离、保护对象的性质选取。</w:t>
      </w:r>
      <w:bookmarkEnd w:id="79"/>
      <w:bookmarkEnd w:id="80"/>
    </w:p>
    <w:p>
      <w:pPr>
        <w:pStyle w:val="98"/>
        <w:ind w:firstLine="560" w:firstLineChars="0"/>
        <w:rPr>
          <w:lang w:bidi="zh-CN"/>
        </w:rPr>
      </w:pPr>
      <w:bookmarkStart w:id="81" w:name="OLE_LINK107"/>
      <w:bookmarkStart w:id="82" w:name="OLE_LINK106"/>
      <w:r>
        <w:rPr>
          <w:rFonts w:hint="eastAsia"/>
          <w:lang w:bidi="zh-CN"/>
        </w:rPr>
        <w:t>1)回采、掘进作业</w:t>
      </w:r>
    </w:p>
    <w:bookmarkEnd w:id="81"/>
    <w:bookmarkEnd w:id="82"/>
    <w:p>
      <w:pPr>
        <w:pStyle w:val="98"/>
        <w:ind w:firstLine="560"/>
        <w:rPr>
          <w:lang w:bidi="zh-CN"/>
        </w:rPr>
      </w:pPr>
      <w:r>
        <w:rPr>
          <w:rFonts w:hint="eastAsia"/>
          <w:lang w:bidi="zh-CN"/>
        </w:rPr>
        <w:t>设计采用浅孔爆破作业，计算单段起爆药量如下：</w:t>
      </w:r>
    </w:p>
    <w:p>
      <w:pPr>
        <w:pStyle w:val="98"/>
        <w:ind w:firstLine="560"/>
        <w:jc w:val="center"/>
        <w:rPr>
          <w:lang w:bidi="zh-CN"/>
        </w:rPr>
      </w:pPr>
      <w:r>
        <w:rPr>
          <w:rFonts w:hint="eastAsia"/>
          <w:lang w:bidi="zh-CN"/>
        </w:rPr>
        <w:t>Q=(L-L</w:t>
      </w:r>
      <w:r>
        <w:rPr>
          <w:rFonts w:hint="eastAsia"/>
          <w:vertAlign w:val="subscript"/>
          <w:lang w:bidi="zh-CN"/>
        </w:rPr>
        <w:t>t</w:t>
      </w:r>
      <w:r>
        <w:rPr>
          <w:rFonts w:hint="eastAsia"/>
          <w:lang w:bidi="zh-CN"/>
        </w:rPr>
        <w:t>)</w:t>
      </w:r>
      <w:r>
        <w:rPr>
          <w:rFonts w:hint="eastAsia" w:ascii="MS Gothic" w:hAnsi="MS Gothic" w:eastAsia="MS Gothic" w:cs="MS Gothic"/>
          <w:lang w:bidi="zh-CN"/>
        </w:rPr>
        <w:t>⋅</w:t>
      </w:r>
      <w:r>
        <w:rPr>
          <w:rFonts w:hint="eastAsia"/>
          <w:lang w:bidi="zh-CN"/>
        </w:rPr>
        <w:t>t</w:t>
      </w:r>
      <w:r>
        <w:rPr>
          <w:rFonts w:hint="eastAsia" w:ascii="MS Gothic" w:hAnsi="MS Gothic" w:eastAsia="MS Gothic" w:cs="MS Gothic"/>
          <w:lang w:bidi="zh-CN"/>
        </w:rPr>
        <w:t>⋅</w:t>
      </w:r>
      <w:r>
        <w:rPr>
          <w:rFonts w:hint="eastAsia"/>
          <w:lang w:bidi="zh-CN"/>
        </w:rPr>
        <w:t>a/L</w:t>
      </w:r>
      <w:r>
        <w:rPr>
          <w:rFonts w:hint="eastAsia"/>
          <w:vertAlign w:val="subscript"/>
          <w:lang w:bidi="zh-CN"/>
        </w:rPr>
        <w:t>y</w:t>
      </w:r>
    </w:p>
    <w:p>
      <w:pPr>
        <w:pStyle w:val="98"/>
        <w:ind w:firstLine="560"/>
        <w:rPr>
          <w:lang w:bidi="zh-CN"/>
        </w:rPr>
      </w:pPr>
      <w:r>
        <w:rPr>
          <w:rFonts w:hint="eastAsia"/>
          <w:lang w:bidi="zh-CN"/>
        </w:rPr>
        <w:t>式中：</w:t>
      </w:r>
    </w:p>
    <w:p>
      <w:pPr>
        <w:pStyle w:val="98"/>
        <w:ind w:firstLine="1120" w:firstLineChars="400"/>
        <w:rPr>
          <w:lang w:bidi="zh-CN"/>
        </w:rPr>
      </w:pPr>
      <w:r>
        <w:rPr>
          <w:rFonts w:hint="eastAsia"/>
          <w:lang w:bidi="zh-CN"/>
        </w:rPr>
        <w:t>Q—单段起爆药量，kg；</w:t>
      </w:r>
    </w:p>
    <w:p>
      <w:pPr>
        <w:pStyle w:val="98"/>
        <w:ind w:firstLine="1120" w:firstLineChars="400"/>
        <w:rPr>
          <w:lang w:bidi="zh-CN"/>
        </w:rPr>
      </w:pPr>
      <w:r>
        <w:rPr>
          <w:rFonts w:hint="eastAsia"/>
          <w:lang w:bidi="zh-CN"/>
        </w:rPr>
        <w:t>L—炮孔长度；</w:t>
      </w:r>
    </w:p>
    <w:p>
      <w:pPr>
        <w:pStyle w:val="98"/>
        <w:ind w:firstLine="1120" w:firstLineChars="400"/>
        <w:rPr>
          <w:lang w:bidi="zh-CN"/>
        </w:rPr>
      </w:pPr>
      <w:r>
        <w:rPr>
          <w:rFonts w:hint="eastAsia"/>
          <w:lang w:bidi="zh-CN"/>
        </w:rPr>
        <w:t>Lt—填塞长度m；</w:t>
      </w:r>
    </w:p>
    <w:p>
      <w:pPr>
        <w:pStyle w:val="98"/>
        <w:ind w:firstLine="1120" w:firstLineChars="400"/>
        <w:rPr>
          <w:lang w:bidi="zh-CN"/>
        </w:rPr>
      </w:pPr>
      <w:r>
        <w:rPr>
          <w:rFonts w:hint="eastAsia"/>
          <w:lang w:bidi="zh-CN"/>
        </w:rPr>
        <w:t>Ly—单个药卷长度；</w:t>
      </w:r>
    </w:p>
    <w:p>
      <w:pPr>
        <w:pStyle w:val="98"/>
        <w:ind w:firstLine="1120" w:firstLineChars="400"/>
        <w:rPr>
          <w:lang w:bidi="zh-CN"/>
        </w:rPr>
      </w:pPr>
      <w:r>
        <w:rPr>
          <w:rFonts w:hint="eastAsia"/>
          <w:lang w:bidi="zh-CN"/>
        </w:rPr>
        <w:t>t—单个药卷质量，kg；</w:t>
      </w:r>
    </w:p>
    <w:p>
      <w:pPr>
        <w:pStyle w:val="98"/>
        <w:ind w:firstLine="1120" w:firstLineChars="400"/>
        <w:rPr>
          <w:lang w:bidi="zh-CN"/>
        </w:rPr>
      </w:pPr>
      <w:r>
        <w:rPr>
          <w:rFonts w:hint="eastAsia"/>
          <w:lang w:bidi="zh-CN"/>
        </w:rPr>
        <w:t>a—微差爆破最大同时起爆炮孔数量。</w:t>
      </w:r>
      <w:bookmarkStart w:id="83" w:name="OLE_LINK101"/>
    </w:p>
    <w:p>
      <w:pPr>
        <w:pStyle w:val="98"/>
        <w:ind w:firstLine="0" w:firstLineChars="0"/>
        <w:jc w:val="center"/>
        <w:rPr>
          <w:lang w:bidi="zh-CN"/>
        </w:rPr>
      </w:pPr>
      <w:r>
        <w:rPr>
          <w:rFonts w:hint="eastAsia"/>
          <w:b/>
          <w:lang w:bidi="zh-CN"/>
        </w:rPr>
        <w:t>表1-1</w:t>
      </w:r>
      <w:r>
        <w:rPr>
          <w:b/>
          <w:lang w:bidi="zh-CN"/>
        </w:rPr>
        <w:t xml:space="preserve"> </w:t>
      </w:r>
      <w:r>
        <w:rPr>
          <w:rFonts w:hint="eastAsia"/>
          <w:b/>
          <w:lang w:bidi="zh-CN"/>
        </w:rPr>
        <w:t>浅孔回采单段爆破炸药量计算表</w:t>
      </w:r>
      <w:bookmarkEnd w:id="83"/>
    </w:p>
    <w:tbl>
      <w:tblPr>
        <w:tblStyle w:val="29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259"/>
        <w:gridCol w:w="992"/>
        <w:gridCol w:w="992"/>
        <w:gridCol w:w="1341"/>
        <w:gridCol w:w="1778"/>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爆破场所</w:t>
            </w:r>
          </w:p>
        </w:tc>
        <w:tc>
          <w:tcPr>
            <w:tcW w:w="1259"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L-最长炮</w:t>
            </w:r>
          </w:p>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孔长度(m)</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L</w:t>
            </w:r>
            <w:r>
              <w:rPr>
                <w:rFonts w:hint="eastAsia" w:cs="仿宋" w:asciiTheme="minorEastAsia" w:hAnsiTheme="minorEastAsia" w:eastAsiaTheme="minorEastAsia"/>
                <w:w w:val="90"/>
                <w:sz w:val="24"/>
                <w:vertAlign w:val="subscript"/>
              </w:rPr>
              <w:t>t</w:t>
            </w:r>
            <w:r>
              <w:rPr>
                <w:rFonts w:hint="eastAsia" w:cs="仿宋" w:asciiTheme="minorEastAsia" w:hAnsiTheme="minorEastAsia" w:eastAsiaTheme="minorEastAsia"/>
                <w:w w:val="90"/>
                <w:sz w:val="24"/>
              </w:rPr>
              <w:t>-填塞长度(m)</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L</w:t>
            </w:r>
            <w:r>
              <w:rPr>
                <w:rFonts w:hint="eastAsia" w:cs="仿宋" w:asciiTheme="minorEastAsia" w:hAnsiTheme="minorEastAsia" w:eastAsiaTheme="minorEastAsia"/>
                <w:w w:val="90"/>
                <w:sz w:val="24"/>
                <w:vertAlign w:val="subscript"/>
              </w:rPr>
              <w:t>y</w:t>
            </w:r>
            <w:r>
              <w:rPr>
                <w:rFonts w:hint="eastAsia" w:cs="仿宋" w:asciiTheme="minorEastAsia" w:hAnsiTheme="minorEastAsia" w:eastAsiaTheme="minorEastAsia"/>
                <w:w w:val="90"/>
                <w:sz w:val="24"/>
              </w:rPr>
              <w:t>-药管长度(m)</w:t>
            </w:r>
          </w:p>
        </w:tc>
        <w:tc>
          <w:tcPr>
            <w:tcW w:w="1341"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t-单个药管质量(kg)</w:t>
            </w:r>
          </w:p>
        </w:tc>
        <w:tc>
          <w:tcPr>
            <w:tcW w:w="1778"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a-最大一段起爆孔数(个)</w:t>
            </w:r>
          </w:p>
        </w:tc>
        <w:tc>
          <w:tcPr>
            <w:tcW w:w="1326"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Q-单段起爆药量(kg)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dxa"/>
            <w:shd w:val="clear" w:color="auto" w:fill="auto"/>
            <w:vAlign w:val="center"/>
          </w:tcPr>
          <w:p>
            <w:pPr>
              <w:spacing w:line="280" w:lineRule="exact"/>
              <w:jc w:val="center"/>
              <w:rPr>
                <w:rFonts w:hint="default" w:cs="仿宋" w:asciiTheme="minorEastAsia" w:hAnsiTheme="minorEastAsia" w:eastAsiaTheme="minorEastAsia"/>
                <w:sz w:val="24"/>
              </w:rPr>
            </w:pPr>
            <w:r>
              <w:rPr>
                <w:rFonts w:hint="eastAsia" w:cs="仿宋" w:asciiTheme="minorEastAsia" w:hAnsiTheme="minorEastAsia" w:eastAsiaTheme="minorEastAsia"/>
                <w:sz w:val="24"/>
              </w:rPr>
              <w:t>浅孔回采</w:t>
            </w:r>
          </w:p>
        </w:tc>
        <w:tc>
          <w:tcPr>
            <w:tcW w:w="1259"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2.4</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0.4</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0.2</w:t>
            </w:r>
          </w:p>
        </w:tc>
        <w:tc>
          <w:tcPr>
            <w:tcW w:w="1341"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0.2</w:t>
            </w:r>
          </w:p>
        </w:tc>
        <w:tc>
          <w:tcPr>
            <w:tcW w:w="1778"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6</w:t>
            </w:r>
          </w:p>
        </w:tc>
        <w:tc>
          <w:tcPr>
            <w:tcW w:w="1326"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12</w:t>
            </w:r>
          </w:p>
        </w:tc>
      </w:tr>
    </w:tbl>
    <w:p>
      <w:pPr>
        <w:pStyle w:val="98"/>
        <w:ind w:firstLine="560"/>
      </w:pPr>
      <w:r>
        <w:rPr>
          <w:rFonts w:hint="eastAsia"/>
        </w:rPr>
        <w:t>设计矿山浅孔回采、掘进爆破限制单段最大起爆药量为12kg。</w:t>
      </w:r>
    </w:p>
    <w:p>
      <w:pPr>
        <w:pStyle w:val="98"/>
        <w:ind w:firstLine="560" w:firstLineChars="0"/>
        <w:rPr>
          <w:lang w:bidi="zh-CN"/>
        </w:rPr>
      </w:pPr>
      <w:r>
        <w:rPr>
          <w:rFonts w:hint="eastAsia"/>
          <w:lang w:bidi="zh-CN"/>
        </w:rPr>
        <w:t>2)爆破振动速度计算</w:t>
      </w:r>
    </w:p>
    <w:p>
      <w:pPr>
        <w:pStyle w:val="98"/>
        <w:ind w:firstLine="560"/>
        <w:rPr>
          <w:lang w:bidi="zh-CN"/>
        </w:rPr>
      </w:pPr>
      <w:r>
        <w:rPr>
          <w:rFonts w:hint="eastAsia"/>
          <w:lang w:bidi="zh-CN"/>
        </w:rPr>
        <w:t>按单段最大起爆药量12kg计算爆破质点振动速度，计算公式：</w:t>
      </w:r>
    </w:p>
    <w:p>
      <w:pPr>
        <w:pStyle w:val="98"/>
        <w:ind w:firstLine="560"/>
        <w:jc w:val="center"/>
        <w:rPr>
          <w:vertAlign w:val="superscript"/>
        </w:rPr>
      </w:pPr>
      <w:r>
        <w:t>v=k/(R/q</w:t>
      </w:r>
      <w:r>
        <w:rPr>
          <w:vertAlign w:val="superscript"/>
        </w:rPr>
        <w:t>m</w:t>
      </w:r>
      <w:r>
        <w:t>)</w:t>
      </w:r>
      <w:r>
        <w:rPr>
          <w:vertAlign w:val="superscript"/>
        </w:rPr>
        <w:t>a</w:t>
      </w:r>
    </w:p>
    <w:p>
      <w:pPr>
        <w:pStyle w:val="98"/>
        <w:ind w:firstLine="560"/>
      </w:pPr>
      <w:r>
        <w:rPr>
          <w:rFonts w:hint="eastAsia"/>
        </w:rPr>
        <w:t>式中：</w:t>
      </w:r>
    </w:p>
    <w:p>
      <w:pPr>
        <w:pStyle w:val="98"/>
        <w:ind w:firstLine="1400" w:firstLineChars="500"/>
      </w:pPr>
      <w:r>
        <w:rPr>
          <w:rFonts w:hint="eastAsia"/>
        </w:rPr>
        <w:t>v—保护对象所在地质点振动安全允许速度；</w:t>
      </w:r>
    </w:p>
    <w:p>
      <w:pPr>
        <w:pStyle w:val="98"/>
        <w:ind w:firstLine="1400" w:firstLineChars="500"/>
      </w:pPr>
      <w:r>
        <w:rPr>
          <w:rFonts w:hint="eastAsia"/>
        </w:rPr>
        <w:t>q—炸药量(微差爆破取最大一段药量)，kg；</w:t>
      </w:r>
    </w:p>
    <w:p>
      <w:pPr>
        <w:pStyle w:val="98"/>
        <w:ind w:firstLine="1400" w:firstLineChars="500"/>
      </w:pPr>
      <w:r>
        <w:rPr>
          <w:rFonts w:hint="eastAsia"/>
        </w:rPr>
        <w:t>R—爆破振动安全距离，m；</w:t>
      </w:r>
    </w:p>
    <w:p>
      <w:pPr>
        <w:pStyle w:val="98"/>
        <w:ind w:firstLine="1400" w:firstLineChars="500"/>
      </w:pPr>
      <w:r>
        <w:rPr>
          <w:rFonts w:hint="eastAsia"/>
        </w:rPr>
        <w:t>m—药量指数，取1/3；</w:t>
      </w:r>
    </w:p>
    <w:p>
      <w:pPr>
        <w:pStyle w:val="98"/>
        <w:ind w:firstLine="1400" w:firstLineChars="500"/>
      </w:pPr>
      <w:r>
        <w:rPr>
          <w:rFonts w:hint="eastAsia"/>
        </w:rPr>
        <w:t>k、a—爆破点地形、地质等条件有关系数和衰减系数，k取150，a取1.5。</w:t>
      </w:r>
    </w:p>
    <w:p>
      <w:pPr>
        <w:pStyle w:val="98"/>
        <w:ind w:firstLine="0" w:firstLineChars="0"/>
        <w:jc w:val="center"/>
      </w:pPr>
      <w:r>
        <w:rPr>
          <w:rFonts w:hint="eastAsia"/>
          <w:b/>
        </w:rPr>
        <w:t>表1-2 爆破区域不同岩性k、a值</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岩性</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岩石坚固性系数f</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k</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坚固岩石</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＞12</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20～150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中硬岩石</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8</w:t>
            </w:r>
            <w:r>
              <w:rPr>
                <w:rFonts w:hint="eastAsia" w:asciiTheme="minorEastAsia" w:hAnsiTheme="minorEastAsia" w:eastAsiaTheme="minorEastAsia"/>
                <w:bCs/>
                <w:sz w:val="24"/>
              </w:rPr>
              <w:t>～</w:t>
            </w:r>
            <w:r>
              <w:rPr>
                <w:rFonts w:hint="eastAsia" w:asciiTheme="minorEastAsia" w:hAnsiTheme="minorEastAsia" w:eastAsiaTheme="minorEastAsia"/>
                <w:sz w:val="24"/>
              </w:rPr>
              <w:t>12</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150～250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软岩石</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＜8</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250～350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1.8～2.0</w:t>
            </w:r>
          </w:p>
        </w:tc>
      </w:tr>
    </w:tbl>
    <w:p>
      <w:pPr>
        <w:pStyle w:val="98"/>
        <w:ind w:firstLine="0" w:firstLineChars="0"/>
        <w:jc w:val="center"/>
        <w:rPr>
          <w:b/>
        </w:rPr>
      </w:pPr>
      <w:r>
        <w:rPr>
          <w:b/>
        </w:rPr>
        <w:t>表</w:t>
      </w:r>
      <w:r>
        <w:rPr>
          <w:rFonts w:hint="eastAsia"/>
          <w:b/>
        </w:rPr>
        <w:t>1</w:t>
      </w:r>
      <w:r>
        <w:rPr>
          <w:b/>
        </w:rPr>
        <w:t>-</w:t>
      </w:r>
      <w:r>
        <w:rPr>
          <w:rFonts w:hint="eastAsia"/>
          <w:b/>
        </w:rPr>
        <w:t>3</w:t>
      </w:r>
      <w:r>
        <w:rPr>
          <w:b/>
        </w:rPr>
        <w:t xml:space="preserve"> 爆破振动安全允许标准</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3439"/>
        <w:gridCol w:w="1376"/>
        <w:gridCol w:w="1374"/>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序号</w:t>
            </w:r>
          </w:p>
        </w:tc>
        <w:tc>
          <w:tcPr>
            <w:tcW w:w="34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保护对象类别</w:t>
            </w:r>
          </w:p>
        </w:tc>
        <w:tc>
          <w:tcPr>
            <w:tcW w:w="4319" w:type="dxa"/>
            <w:gridSpan w:val="3"/>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安全允许振速(cm/s)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kern w:val="0"/>
                <w:sz w:val="24"/>
              </w:rPr>
            </w:pPr>
          </w:p>
        </w:tc>
        <w:tc>
          <w:tcPr>
            <w:tcW w:w="34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kern w:val="0"/>
                <w:sz w:val="24"/>
              </w:rPr>
            </w:pP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＜10Hz</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10Hz～50Hz</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50Hz～100Hz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土窑洞、土坯房、毛石房屋</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0.15～0.45</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0.45～0.9</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一般民用建筑物</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1.5～2.0</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2.0～2.5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3</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工业和商业建筑物</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2.5～3.5</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3.5～4.5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4</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一般古建筑与古迹</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0.1～0.2</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0.2～0.3</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w w:val="90"/>
                <w:kern w:val="0"/>
                <w:sz w:val="24"/>
              </w:rPr>
            </w:pPr>
            <w:r>
              <w:rPr>
                <w:rFonts w:hint="eastAsia" w:asciiTheme="minorEastAsia" w:hAnsiTheme="minorEastAsia" w:eastAsiaTheme="minorEastAsia"/>
                <w:w w:val="90"/>
                <w:kern w:val="0"/>
                <w:sz w:val="24"/>
              </w:rPr>
              <w:t>运行中的水电站及发电厂中心控制室设备</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0.5～0.6</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0.6～0.7</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6</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水工隧洞</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7～8</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8～10</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7</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交通隧道</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10～12</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12～15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矿山巷道</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15～18</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18～25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9</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永久性岩石高边坡</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5～9</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8～12</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新浇大体积混凝土(C20)：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龄期：初凝～3d</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龄期：3d～7d</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龄期：7d～28d</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1.5～2.0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3.0～4.0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7.0～8.0</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2.0～2.5</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4.0～5.0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8.0～10.0</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2.5～3.0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5.0～7.0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spacing w:line="280" w:lineRule="exact"/>
              <w:rPr>
                <w:rFonts w:asciiTheme="minorEastAsia" w:hAnsiTheme="minorEastAsia" w:eastAsiaTheme="minorEastAsia"/>
                <w:kern w:val="0"/>
                <w:sz w:val="24"/>
              </w:rPr>
            </w:pPr>
            <w:r>
              <w:rPr>
                <w:rFonts w:hint="eastAsia" w:asciiTheme="minorEastAsia" w:hAnsiTheme="minorEastAsia" w:eastAsiaTheme="minorEastAsia"/>
                <w:kern w:val="0"/>
                <w:sz w:val="24"/>
              </w:rPr>
              <w:t>爆破振动监测应同时测定质点振动相互垂直的三个分量。</w:t>
            </w:r>
          </w:p>
          <w:p>
            <w:pPr>
              <w:widowControl/>
              <w:spacing w:line="28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注1：表中质点振动速度为三个分量中的最大值，振动频率为主振频率；</w:t>
            </w:r>
          </w:p>
          <w:p>
            <w:pPr>
              <w:widowControl/>
              <w:spacing w:line="280" w:lineRule="exact"/>
              <w:ind w:left="480" w:hanging="480" w:hangingChars="200"/>
              <w:rPr>
                <w:rFonts w:asciiTheme="minorEastAsia" w:hAnsiTheme="minorEastAsia" w:eastAsiaTheme="minorEastAsia"/>
                <w:kern w:val="0"/>
                <w:sz w:val="24"/>
              </w:rPr>
            </w:pPr>
            <w:r>
              <w:rPr>
                <w:rFonts w:hint="eastAsia" w:asciiTheme="minorEastAsia" w:hAnsiTheme="minorEastAsia" w:eastAsiaTheme="minorEastAsia"/>
                <w:kern w:val="0"/>
                <w:sz w:val="24"/>
              </w:rPr>
              <w:t>注2：频率范围根据现场实测波形确定或按如下数据选取：硐室爆破f小于20Hz，露天深孔爆破f在10Hz～60Hz之间，露天浅孔爆破f在40Hz～100Hz之间；地下深孔爆破f在30Hz～100Hz之间，地下浅孔爆破f在60Hz～300Hz之间。</w:t>
            </w:r>
          </w:p>
        </w:tc>
      </w:tr>
    </w:tbl>
    <w:p>
      <w:pPr>
        <w:pStyle w:val="98"/>
        <w:ind w:firstLine="0" w:firstLineChars="0"/>
        <w:jc w:val="center"/>
        <w:rPr>
          <w:b/>
        </w:rPr>
      </w:pPr>
      <w:bookmarkStart w:id="84" w:name="_Hlk169252556"/>
      <w:r>
        <w:rPr>
          <w:rFonts w:hint="eastAsia"/>
          <w:b/>
        </w:rPr>
        <w:t>表1-4 爆破计算结果表</w:t>
      </w:r>
    </w:p>
    <w:bookmarkEnd w:id="84"/>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777"/>
        <w:gridCol w:w="820"/>
        <w:gridCol w:w="1231"/>
        <w:gridCol w:w="1231"/>
        <w:gridCol w:w="1377"/>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vAlign w:val="center"/>
          </w:tcPr>
          <w:p>
            <w:pPr>
              <w:spacing w:line="280" w:lineRule="exact"/>
              <w:jc w:val="center"/>
              <w:rPr>
                <w:rFonts w:cs="仿宋" w:asciiTheme="minorEastAsia" w:hAnsiTheme="minorEastAsia" w:eastAsiaTheme="minorEastAsia"/>
                <w:w w:val="90"/>
                <w:sz w:val="24"/>
              </w:rPr>
            </w:pPr>
            <w:bookmarkStart w:id="85" w:name="_Hlk164247010"/>
            <w:bookmarkStart w:id="86" w:name="OLE_LINK51"/>
            <w:r>
              <w:rPr>
                <w:rFonts w:hint="eastAsia" w:cs="仿宋" w:asciiTheme="minorEastAsia" w:hAnsiTheme="minorEastAsia" w:eastAsiaTheme="minorEastAsia"/>
                <w:w w:val="90"/>
                <w:sz w:val="24"/>
              </w:rPr>
              <w:t>爆破场所</w:t>
            </w:r>
          </w:p>
        </w:tc>
        <w:tc>
          <w:tcPr>
            <w:tcW w:w="17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与《爆破规程》相应保护对象</w:t>
            </w:r>
          </w:p>
        </w:tc>
        <w:tc>
          <w:tcPr>
            <w:tcW w:w="820"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实际距离(m)</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安全允许速度V(cm/s)</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控制一段最大药量(kg)</w:t>
            </w:r>
          </w:p>
        </w:tc>
        <w:tc>
          <w:tcPr>
            <w:tcW w:w="13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计算爆破振动速度(cm/s)</w:t>
            </w:r>
          </w:p>
        </w:tc>
        <w:tc>
          <w:tcPr>
            <w:tcW w:w="72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计算</w:t>
            </w:r>
          </w:p>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住宅</w:t>
            </w:r>
          </w:p>
        </w:tc>
        <w:tc>
          <w:tcPr>
            <w:tcW w:w="17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一般民用建筑物</w:t>
            </w:r>
          </w:p>
        </w:tc>
        <w:tc>
          <w:tcPr>
            <w:tcW w:w="820"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325</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2.5</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12</w:t>
            </w:r>
          </w:p>
        </w:tc>
        <w:tc>
          <w:tcPr>
            <w:tcW w:w="1377" w:type="dxa"/>
            <w:shd w:val="clear" w:color="auto" w:fill="auto"/>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0.09</w:t>
            </w:r>
          </w:p>
        </w:tc>
        <w:tc>
          <w:tcPr>
            <w:tcW w:w="72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遗址保护区</w:t>
            </w:r>
          </w:p>
        </w:tc>
        <w:tc>
          <w:tcPr>
            <w:tcW w:w="17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一般古建筑与古迹</w:t>
            </w:r>
          </w:p>
        </w:tc>
        <w:tc>
          <w:tcPr>
            <w:tcW w:w="820"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214</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0.3</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12</w:t>
            </w:r>
          </w:p>
        </w:tc>
        <w:tc>
          <w:tcPr>
            <w:tcW w:w="1377" w:type="dxa"/>
            <w:shd w:val="clear" w:color="auto" w:fill="auto"/>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0.17</w:t>
            </w:r>
          </w:p>
        </w:tc>
        <w:tc>
          <w:tcPr>
            <w:tcW w:w="72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安全</w:t>
            </w:r>
          </w:p>
        </w:tc>
      </w:tr>
      <w:bookmarkEnd w:id="85"/>
      <w:bookmarkEnd w:id="86"/>
    </w:tbl>
    <w:p>
      <w:pPr>
        <w:pStyle w:val="98"/>
        <w:ind w:firstLine="560"/>
      </w:pPr>
      <w:bookmarkStart w:id="87" w:name="OLE_LINK53"/>
      <w:bookmarkStart w:id="88" w:name="OLE_LINK52"/>
      <w:r>
        <w:rPr>
          <w:rFonts w:hint="eastAsia"/>
        </w:rPr>
        <w:t>根据</w:t>
      </w:r>
      <w:r>
        <w:t>《爆破安全规程》(GB6722-201</w:t>
      </w:r>
      <w:r>
        <w:rPr>
          <w:rFonts w:hint="eastAsia"/>
        </w:rPr>
        <w:t>4</w:t>
      </w:r>
      <w:r>
        <w:t>)</w:t>
      </w:r>
      <w:r>
        <w:rPr>
          <w:rFonts w:hint="eastAsia"/>
        </w:rPr>
        <w:t>保护对象安全允许速度按安全允许最小值进行选取。根据上表计算结果，井下回采对保护对象产生的振动速度均小于保护对象的最小安全允许振动速度。</w:t>
      </w:r>
    </w:p>
    <w:p>
      <w:pPr>
        <w:pStyle w:val="98"/>
        <w:ind w:firstLine="560"/>
      </w:pPr>
      <w:r>
        <w:rPr>
          <w:rFonts w:hint="eastAsia"/>
        </w:rPr>
        <w:t>设计井下爆破地点临近居民住宅及遗址保护区时采用多打孔、少装药,数码电子雷管分段起爆，减小单段最大起爆药量，可降低对地表保护构筑物的爆破振动影响。矿山应严格按本次设计划定的矿体开采范围内进行开采，爆破时应按设计严格控制单段最大起爆药量。根据上述计算，井下爆破对居民住宅产生的质点振动速度远小于爆破安全规程要求的安全允许质点振动速度，因此井下爆破作业对居民住宅及遗址保护区无影响。</w:t>
      </w:r>
      <w:bookmarkEnd w:id="87"/>
      <w:bookmarkEnd w:id="88"/>
    </w:p>
    <w:p>
      <w:pPr>
        <w:pStyle w:val="98"/>
        <w:ind w:firstLine="560"/>
      </w:pPr>
      <w:r>
        <w:rPr>
          <w:rFonts w:hint="eastAsia"/>
        </w:rPr>
        <w:t>除此之外，矿区附近无其他采矿权，矿界外500m范围内无村庄、居民、学校、医院、文物古迹、旅游风景区及名胜古迹等需要保护的重要公共设施；1000m范围内无铁路、高速公路、国道；矿区范围不涉及公益林、生态红线、自然保护区、禁止开发区、限制开发区等。</w:t>
      </w:r>
      <w:bookmarkEnd w:id="74"/>
      <w:bookmarkEnd w:id="75"/>
      <w:bookmarkEnd w:id="76"/>
    </w:p>
    <w:p>
      <w:pPr>
        <w:pStyle w:val="98"/>
        <w:ind w:firstLine="560"/>
      </w:pPr>
      <w:r>
        <w:pict>
          <v:shape id="_x0000_s1036" o:spid="_x0000_s1036" o:spt="75" type="#_x0000_t75" style="position:absolute;left:0pt;margin-left:-60.75pt;margin-top:22.5pt;height:469.5pt;width:553.4pt;z-index:-251433984;mso-width-relative:page;mso-height-relative:page;" filled="f" o:preferrelative="t" stroked="f" coordsize="21600,21600">
            <v:path/>
            <v:fill on="f" focussize="0,0"/>
            <v:stroke on="f" joinstyle="miter"/>
            <v:imagedata r:id="rId22" o:title="111"/>
            <o:lock v:ext="edit" aspectratio="t"/>
          </v:shape>
        </w:pict>
      </w: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pPr>
      <w:r>
        <w:rPr>
          <w:rFonts w:hint="eastAsia"/>
          <w:b/>
        </w:rPr>
        <w:t>图1</w:t>
      </w:r>
      <w:r>
        <w:rPr>
          <w:b/>
        </w:rPr>
        <w:t>-</w:t>
      </w:r>
      <w:r>
        <w:rPr>
          <w:rFonts w:hint="eastAsia"/>
          <w:b/>
        </w:rPr>
        <w:t>2 周边环境示意图</w:t>
      </w:r>
    </w:p>
    <w:p>
      <w:pPr>
        <w:pStyle w:val="98"/>
        <w:ind w:firstLine="560"/>
        <w:sectPr>
          <w:pgSz w:w="11906" w:h="16838"/>
          <w:pgMar w:top="1440" w:right="1800" w:bottom="1440" w:left="1800" w:header="851" w:footer="812" w:gutter="0"/>
          <w:pgNumType w:start="1"/>
          <w:cols w:space="425" w:num="1"/>
          <w:docGrid w:type="lines" w:linePitch="312" w:charSpace="0"/>
        </w:sectPr>
      </w:pPr>
      <w:bookmarkStart w:id="89" w:name="_Toc167307736"/>
    </w:p>
    <w:p>
      <w:pPr>
        <w:pStyle w:val="467"/>
        <w:ind w:left="0" w:firstLine="602" w:firstLineChars="200"/>
      </w:pPr>
      <w:bookmarkStart w:id="90" w:name="_Toc188453615"/>
      <w:bookmarkStart w:id="91" w:name="_Toc187151545"/>
      <w:r>
        <w:rPr>
          <w:rFonts w:hint="eastAsia"/>
        </w:rPr>
        <w:t>（二）申请人基本情况</w:t>
      </w:r>
      <w:bookmarkEnd w:id="89"/>
      <w:bookmarkEnd w:id="90"/>
      <w:bookmarkEnd w:id="91"/>
    </w:p>
    <w:p>
      <w:pPr>
        <w:pStyle w:val="98"/>
        <w:ind w:firstLine="560"/>
        <w:rPr>
          <w:kern w:val="0"/>
        </w:rPr>
      </w:pPr>
      <w:r>
        <w:rPr>
          <w:rFonts w:hint="eastAsia"/>
        </w:rPr>
        <w:t>采矿权人：</w:t>
      </w:r>
      <w:bookmarkStart w:id="92" w:name="OLE_LINK329"/>
      <w:bookmarkStart w:id="93" w:name="OLE_LINK327"/>
      <w:bookmarkStart w:id="94" w:name="OLE_LINK328"/>
      <w:r>
        <w:rPr>
          <w:rFonts w:hint="eastAsia"/>
          <w:kern w:val="0"/>
        </w:rPr>
        <w:t>调兵山市硅灰石井巷矿</w:t>
      </w:r>
      <w:bookmarkEnd w:id="92"/>
      <w:bookmarkEnd w:id="93"/>
      <w:bookmarkEnd w:id="94"/>
    </w:p>
    <w:p>
      <w:pPr>
        <w:pStyle w:val="98"/>
        <w:ind w:firstLine="560"/>
      </w:pPr>
      <w:r>
        <w:rPr>
          <w:rFonts w:hint="eastAsia"/>
          <w:kern w:val="0"/>
        </w:rPr>
        <w:t>矿山名称：</w:t>
      </w:r>
      <w:r>
        <w:rPr>
          <w:rFonts w:hint="eastAsia"/>
          <w:bCs/>
          <w:kern w:val="0"/>
        </w:rPr>
        <w:t>调兵山市硅灰石井巷矿</w:t>
      </w:r>
    </w:p>
    <w:p>
      <w:pPr>
        <w:pStyle w:val="98"/>
        <w:ind w:firstLine="560"/>
      </w:pPr>
      <w:r>
        <w:rPr>
          <w:rFonts w:hint="eastAsia"/>
        </w:rPr>
        <w:t>企业性质：集体所有制</w:t>
      </w:r>
    </w:p>
    <w:p>
      <w:pPr>
        <w:pStyle w:val="98"/>
        <w:ind w:firstLine="560"/>
      </w:pPr>
      <w:r>
        <w:rPr>
          <w:rFonts w:hint="eastAsia"/>
        </w:rPr>
        <w:t>法定代表人：李春发</w:t>
      </w:r>
    </w:p>
    <w:p>
      <w:pPr>
        <w:pStyle w:val="98"/>
        <w:ind w:firstLine="560"/>
      </w:pPr>
      <w:r>
        <w:rPr>
          <w:rFonts w:hint="eastAsia"/>
        </w:rPr>
        <w:t>住所：调兵山市晓南镇泉眼沟村</w:t>
      </w:r>
    </w:p>
    <w:p>
      <w:pPr>
        <w:pStyle w:val="98"/>
        <w:ind w:firstLine="560"/>
      </w:pPr>
      <w:r>
        <w:rPr>
          <w:rFonts w:hint="eastAsia"/>
        </w:rPr>
        <w:t>注册资本：人民币伍拾万元整</w:t>
      </w:r>
    </w:p>
    <w:p>
      <w:pPr>
        <w:pStyle w:val="98"/>
        <w:ind w:firstLine="560"/>
        <w:rPr>
          <w:highlight w:val="yellow"/>
        </w:rPr>
      </w:pPr>
      <w:r>
        <w:rPr>
          <w:rFonts w:hint="eastAsia"/>
        </w:rPr>
        <w:t>统一社会信用代码：912112817308236158</w:t>
      </w:r>
    </w:p>
    <w:p>
      <w:pPr>
        <w:pStyle w:val="467"/>
        <w:ind w:left="0" w:firstLine="602" w:firstLineChars="200"/>
      </w:pPr>
      <w:bookmarkStart w:id="95" w:name="_Toc188453616"/>
      <w:bookmarkStart w:id="96" w:name="_Toc167307737"/>
      <w:bookmarkStart w:id="97" w:name="_Toc187151546"/>
      <w:r>
        <w:rPr>
          <w:rFonts w:hint="eastAsia"/>
        </w:rPr>
        <w:t>（三）矿山勘查开采历史及现状</w:t>
      </w:r>
      <w:bookmarkEnd w:id="95"/>
      <w:bookmarkEnd w:id="96"/>
      <w:bookmarkEnd w:id="97"/>
    </w:p>
    <w:p>
      <w:pPr>
        <w:pStyle w:val="6"/>
        <w:ind w:firstLine="562" w:firstLineChars="200"/>
        <w:rPr>
          <w:rFonts w:hint="default"/>
        </w:rPr>
      </w:pPr>
      <w:r>
        <w:t>1.以往勘查历史</w:t>
      </w:r>
    </w:p>
    <w:p>
      <w:pPr>
        <w:pStyle w:val="98"/>
        <w:ind w:firstLine="560"/>
      </w:pPr>
      <w:bookmarkStart w:id="98" w:name="OLE_LINK206"/>
      <w:bookmarkStart w:id="99" w:name="OLE_LINK207"/>
      <w:r>
        <w:rPr>
          <w:rFonts w:hint="eastAsia"/>
        </w:rPr>
        <w:t>七十年代初期，辽宁省地质局区调队在该区开展铁岭幅</w:t>
      </w:r>
      <w:r>
        <w:t>1/20</w:t>
      </w:r>
      <w:r>
        <w:rPr>
          <w:rFonts w:hint="eastAsia"/>
        </w:rPr>
        <w:t>万区调工作。</w:t>
      </w:r>
      <w:r>
        <w:t>1985</w:t>
      </w:r>
      <w:r>
        <w:rPr>
          <w:rFonts w:hint="eastAsia"/>
        </w:rPr>
        <w:t>年辽宁省地矿局第四地质大队对法库县城子山硅灰石矿做了详查地质工作，提交</w:t>
      </w:r>
      <w:r>
        <w:t>C+D</w:t>
      </w:r>
      <w:r>
        <w:rPr>
          <w:rFonts w:hint="eastAsia"/>
        </w:rPr>
        <w:t>级矿石储量</w:t>
      </w:r>
      <w:r>
        <w:t>364</w:t>
      </w:r>
      <w:r>
        <w:rPr>
          <w:rFonts w:hint="eastAsia"/>
        </w:rPr>
        <w:t>万吨。</w:t>
      </w:r>
      <w:r>
        <w:t>1996</w:t>
      </w:r>
      <w:r>
        <w:rPr>
          <w:rFonts w:hint="eastAsia"/>
        </w:rPr>
        <w:t>年辽宁地勘局区调队在区内开展</w:t>
      </w:r>
      <w:r>
        <w:t>1/5</w:t>
      </w:r>
      <w:r>
        <w:rPr>
          <w:rFonts w:hint="eastAsia"/>
        </w:rPr>
        <w:t>万（五台子幅）区调工作。</w:t>
      </w:r>
      <w:r>
        <w:t>1997</w:t>
      </w:r>
      <w:r>
        <w:rPr>
          <w:rFonts w:hint="eastAsia"/>
        </w:rPr>
        <w:t>年辽宁地勘局第九地质大队对铁法市泉眼沟硅灰石矿进行地质普查工作，并提交了普查地质报告。主要成果探明</w:t>
      </w:r>
      <w:r>
        <w:t>C+D</w:t>
      </w:r>
      <w:r>
        <w:rPr>
          <w:rFonts w:hint="eastAsia"/>
        </w:rPr>
        <w:t>级矿石储量</w:t>
      </w:r>
      <w:r>
        <w:t>105.51</w:t>
      </w:r>
      <w:r>
        <w:rPr>
          <w:rFonts w:hint="eastAsia"/>
        </w:rPr>
        <w:t>万吨，矿物量</w:t>
      </w:r>
      <w:r>
        <w:t>52.81</w:t>
      </w:r>
      <w:r>
        <w:rPr>
          <w:rFonts w:hint="eastAsia"/>
        </w:rPr>
        <w:t>万吨。</w:t>
      </w:r>
    </w:p>
    <w:p>
      <w:pPr>
        <w:pStyle w:val="98"/>
        <w:ind w:firstLine="560"/>
      </w:pPr>
      <w:r>
        <w:t>1999</w:t>
      </w:r>
      <w:r>
        <w:rPr>
          <w:rFonts w:hint="eastAsia"/>
        </w:rPr>
        <w:t>年</w:t>
      </w:r>
      <w:r>
        <w:t>11</w:t>
      </w:r>
      <w:r>
        <w:rPr>
          <w:rFonts w:hint="eastAsia"/>
        </w:rPr>
        <w:t>月铁岭地勘局第九地质大队对本区进行了地质监测并利用</w:t>
      </w:r>
      <w:r>
        <w:t>97</w:t>
      </w:r>
      <w:r>
        <w:rPr>
          <w:rFonts w:hint="eastAsia"/>
        </w:rPr>
        <w:t>年和以往地质资料及成果，同时补充了部分井下工程。主要成果探明</w:t>
      </w:r>
      <w:r>
        <w:t>C+D</w:t>
      </w:r>
      <w:r>
        <w:rPr>
          <w:rFonts w:hint="eastAsia"/>
        </w:rPr>
        <w:t>级矿石储量</w:t>
      </w:r>
      <w:r>
        <w:t>105.51</w:t>
      </w:r>
      <w:r>
        <w:rPr>
          <w:rFonts w:hint="eastAsia"/>
        </w:rPr>
        <w:t>万吨，矿物量</w:t>
      </w:r>
      <w:r>
        <w:t>52.81</w:t>
      </w:r>
      <w:r>
        <w:rPr>
          <w:rFonts w:hint="eastAsia"/>
        </w:rPr>
        <w:t>万吨。</w:t>
      </w:r>
    </w:p>
    <w:p>
      <w:pPr>
        <w:pStyle w:val="98"/>
        <w:ind w:firstLine="560"/>
      </w:pPr>
      <w:r>
        <w:rPr>
          <w:rFonts w:hint="eastAsia"/>
        </w:rPr>
        <w:t>东北煤田地质局一</w:t>
      </w:r>
      <w:r>
        <w:t>0</w:t>
      </w:r>
      <w:r>
        <w:rPr>
          <w:rFonts w:hint="eastAsia"/>
        </w:rPr>
        <w:t>一勘探队于</w:t>
      </w:r>
      <w:r>
        <w:t>2007</w:t>
      </w:r>
      <w:r>
        <w:rPr>
          <w:rFonts w:hint="eastAsia"/>
        </w:rPr>
        <w:t>年</w:t>
      </w:r>
      <w:r>
        <w:t>12</w:t>
      </w:r>
      <w:r>
        <w:rPr>
          <w:rFonts w:hint="eastAsia"/>
        </w:rPr>
        <w:t>月对调兵山市硅灰石井巷矿进行地质储量监测工作，截止到</w:t>
      </w:r>
      <w:r>
        <w:t>2007</w:t>
      </w:r>
      <w:r>
        <w:rPr>
          <w:rFonts w:hint="eastAsia"/>
        </w:rPr>
        <w:t>年</w:t>
      </w:r>
      <w:r>
        <w:t>12</w:t>
      </w:r>
      <w:r>
        <w:rPr>
          <w:rFonts w:hint="eastAsia"/>
        </w:rPr>
        <w:t>月，该矿山硅灰石矿石保有储量</w:t>
      </w:r>
      <w:r>
        <w:t>89.49</w:t>
      </w:r>
      <w:r>
        <w:rPr>
          <w:rFonts w:hint="eastAsia"/>
        </w:rPr>
        <w:t>万吨（</w:t>
      </w:r>
      <w:r>
        <w:t>122b</w:t>
      </w:r>
      <w:r>
        <w:rPr>
          <w:rFonts w:hint="eastAsia"/>
        </w:rPr>
        <w:t>），可采矿石量</w:t>
      </w:r>
      <w:r>
        <w:t>76.07</w:t>
      </w:r>
      <w:r>
        <w:rPr>
          <w:rFonts w:hint="eastAsia"/>
        </w:rPr>
        <w:t>万吨，</w:t>
      </w:r>
      <w:r>
        <w:t xml:space="preserve"> </w:t>
      </w:r>
      <w:r>
        <w:rPr>
          <w:rFonts w:hint="eastAsia"/>
        </w:rPr>
        <w:t>含精矿量</w:t>
      </w:r>
      <w:r>
        <w:t>52.37</w:t>
      </w:r>
      <w:r>
        <w:rPr>
          <w:rFonts w:hint="eastAsia"/>
        </w:rPr>
        <w:t>万吨（</w:t>
      </w:r>
      <w:r>
        <w:t>122b</w:t>
      </w:r>
      <w:r>
        <w:rPr>
          <w:rFonts w:hint="eastAsia"/>
        </w:rPr>
        <w:t>）矿物量</w:t>
      </w:r>
      <w:r>
        <w:t>47.34</w:t>
      </w:r>
      <w:r>
        <w:rPr>
          <w:rFonts w:hint="eastAsia"/>
        </w:rPr>
        <w:t>万吨。</w:t>
      </w:r>
    </w:p>
    <w:p>
      <w:pPr>
        <w:pStyle w:val="98"/>
        <w:ind w:firstLine="560"/>
      </w:pPr>
      <w:r>
        <w:t>2008</w:t>
      </w:r>
      <w:r>
        <w:rPr>
          <w:rFonts w:hint="eastAsia"/>
        </w:rPr>
        <w:t>年</w:t>
      </w:r>
      <w:r>
        <w:t>8</w:t>
      </w:r>
      <w:r>
        <w:rPr>
          <w:rFonts w:hint="eastAsia"/>
        </w:rPr>
        <w:t>月，东北煤田地质局一</w:t>
      </w:r>
      <w:r>
        <w:t>0</w:t>
      </w:r>
      <w:r>
        <w:rPr>
          <w:rFonts w:hint="eastAsia"/>
        </w:rPr>
        <w:t>一勘探队对原调兵山市硅灰石井巷矿、调兵山市盛发硅灰石矿资源整合矿区进行资源</w:t>
      </w:r>
      <w:r>
        <w:t>/</w:t>
      </w:r>
      <w:r>
        <w:rPr>
          <w:rFonts w:hint="eastAsia"/>
        </w:rPr>
        <w:t>储量核实工作，并提交了《辽宁省调兵山市泉眼沟矿区井巷矿硅灰石储量核实报告》，其中该矿山求得矿石量</w:t>
      </w:r>
      <w:r>
        <w:t>78.07</w:t>
      </w:r>
      <w:r>
        <w:rPr>
          <w:rFonts w:hint="eastAsia"/>
        </w:rPr>
        <w:t>万吨，精矿量</w:t>
      </w:r>
      <w:r>
        <w:t>39.08</w:t>
      </w:r>
      <w:r>
        <w:rPr>
          <w:rFonts w:hint="eastAsia"/>
        </w:rPr>
        <w:t>万吨，其中</w:t>
      </w:r>
      <w:r>
        <w:t>122b</w:t>
      </w:r>
      <w:r>
        <w:rPr>
          <w:rFonts w:hint="eastAsia"/>
        </w:rPr>
        <w:t>矿石量</w:t>
      </w:r>
      <w:r>
        <w:t>37.53</w:t>
      </w:r>
      <w:r>
        <w:rPr>
          <w:rFonts w:hint="eastAsia"/>
        </w:rPr>
        <w:t>万吨，精矿量</w:t>
      </w:r>
      <w:r>
        <w:t>17.59</w:t>
      </w:r>
      <w:r>
        <w:rPr>
          <w:rFonts w:hint="eastAsia"/>
        </w:rPr>
        <w:t>万吨；</w:t>
      </w:r>
      <w:r>
        <w:t>333</w:t>
      </w:r>
      <w:r>
        <w:rPr>
          <w:rFonts w:hint="eastAsia"/>
        </w:rPr>
        <w:t>矿石量</w:t>
      </w:r>
      <w:r>
        <w:t>40.54</w:t>
      </w:r>
      <w:r>
        <w:rPr>
          <w:rFonts w:hint="eastAsia"/>
        </w:rPr>
        <w:t>万吨，精矿量</w:t>
      </w:r>
      <w:r>
        <w:t>21.49</w:t>
      </w:r>
      <w:r>
        <w:rPr>
          <w:rFonts w:hint="eastAsia"/>
        </w:rPr>
        <w:t>万吨。该资源量已评审备案，评审备案证明文号为辽国土资储备字〔</w:t>
      </w:r>
      <w:r>
        <w:t>2008</w:t>
      </w:r>
      <w:r>
        <w:rPr>
          <w:rFonts w:hint="eastAsia"/>
        </w:rPr>
        <w:t>〕</w:t>
      </w:r>
      <w:r>
        <w:t>659</w:t>
      </w:r>
      <w:r>
        <w:rPr>
          <w:rFonts w:hint="eastAsia"/>
        </w:rPr>
        <w:t>号。</w:t>
      </w:r>
    </w:p>
    <w:p>
      <w:pPr>
        <w:pStyle w:val="98"/>
        <w:ind w:firstLine="560"/>
      </w:pPr>
      <w:r>
        <w:t>2008-2018</w:t>
      </w:r>
      <w:r>
        <w:rPr>
          <w:rFonts w:hint="eastAsia"/>
        </w:rPr>
        <w:t>年，矿山一直处于生产状态。东北煤田地质局一</w:t>
      </w:r>
      <w:r>
        <w:t>0</w:t>
      </w:r>
      <w:r>
        <w:rPr>
          <w:rFonts w:hint="eastAsia"/>
        </w:rPr>
        <w:t>一勘探队受矿山委托，每年均编制了储量年度报告。</w:t>
      </w:r>
    </w:p>
    <w:p>
      <w:pPr>
        <w:pStyle w:val="98"/>
        <w:ind w:firstLine="560"/>
      </w:pPr>
      <w:r>
        <w:t>2019</w:t>
      </w:r>
      <w:r>
        <w:rPr>
          <w:rFonts w:hint="eastAsia"/>
        </w:rPr>
        <w:t>年</w:t>
      </w:r>
      <w:r>
        <w:t>3</w:t>
      </w:r>
      <w:r>
        <w:rPr>
          <w:rFonts w:hint="eastAsia"/>
        </w:rPr>
        <w:t>月，矿山为办理采矿权退出文物遗址保护区，委托辽宁省有色地质一〇四队有限责任公司对原采矿权内的资源储量进行分割，并提交了《辽宁省调兵山市泉眼沟硅灰石矿资源储量分割报告》。分割后现矿区范围内保有硅灰石资源储量（</w:t>
      </w:r>
      <w:r>
        <w:t>122b+333</w:t>
      </w:r>
      <w:r>
        <w:rPr>
          <w:rFonts w:hint="eastAsia"/>
        </w:rPr>
        <w:t>）</w:t>
      </w:r>
      <w:r>
        <w:t>575.60</w:t>
      </w:r>
      <w:r>
        <w:rPr>
          <w:rFonts w:hint="eastAsia"/>
        </w:rPr>
        <w:t>千吨，其中</w:t>
      </w:r>
      <w:r>
        <w:t>122b</w:t>
      </w:r>
      <w:r>
        <w:rPr>
          <w:rFonts w:hint="eastAsia"/>
        </w:rPr>
        <w:t>储量</w:t>
      </w:r>
      <w:r>
        <w:t>269.43</w:t>
      </w:r>
      <w:r>
        <w:rPr>
          <w:rFonts w:hint="eastAsia"/>
        </w:rPr>
        <w:t>千吨，</w:t>
      </w:r>
      <w:r>
        <w:t>333</w:t>
      </w:r>
      <w:r>
        <w:rPr>
          <w:rFonts w:hint="eastAsia"/>
        </w:rPr>
        <w:t>资源量</w:t>
      </w:r>
      <w:r>
        <w:t>306.17</w:t>
      </w:r>
      <w:r>
        <w:rPr>
          <w:rFonts w:hint="eastAsia"/>
        </w:rPr>
        <w:t>千吨；硅灰石精矿资源储量（</w:t>
      </w:r>
      <w:r>
        <w:t>122b+333</w:t>
      </w:r>
      <w:r>
        <w:rPr>
          <w:rFonts w:hint="eastAsia"/>
        </w:rPr>
        <w:t>）</w:t>
      </w:r>
      <w:r>
        <w:t>288.48</w:t>
      </w:r>
      <w:r>
        <w:rPr>
          <w:rFonts w:hint="eastAsia"/>
        </w:rPr>
        <w:t>千吨，其中</w:t>
      </w:r>
      <w:r>
        <w:t>122b</w:t>
      </w:r>
      <w:r>
        <w:rPr>
          <w:rFonts w:hint="eastAsia"/>
        </w:rPr>
        <w:t>储量</w:t>
      </w:r>
      <w:r>
        <w:t>126.21</w:t>
      </w:r>
      <w:r>
        <w:rPr>
          <w:rFonts w:hint="eastAsia"/>
        </w:rPr>
        <w:t>千吨，</w:t>
      </w:r>
      <w:r>
        <w:t>333</w:t>
      </w:r>
      <w:r>
        <w:rPr>
          <w:rFonts w:hint="eastAsia"/>
        </w:rPr>
        <w:t>资源量</w:t>
      </w:r>
      <w:r>
        <w:t>162.27</w:t>
      </w:r>
      <w:r>
        <w:rPr>
          <w:rFonts w:hint="eastAsia"/>
        </w:rPr>
        <w:t>千吨。该资源量已评审备案，评审备案证明文号为铁国土资储备字〔</w:t>
      </w:r>
      <w:r>
        <w:t>2019</w:t>
      </w:r>
      <w:r>
        <w:rPr>
          <w:rFonts w:hint="eastAsia"/>
        </w:rPr>
        <w:t>〕</w:t>
      </w:r>
      <w:r>
        <w:t>6</w:t>
      </w:r>
      <w:r>
        <w:rPr>
          <w:rFonts w:hint="eastAsia"/>
        </w:rPr>
        <w:t>号。</w:t>
      </w:r>
    </w:p>
    <w:p>
      <w:pPr>
        <w:pStyle w:val="98"/>
        <w:ind w:firstLine="560"/>
      </w:pPr>
      <w:r>
        <w:t>2019</w:t>
      </w:r>
      <w:r>
        <w:rPr>
          <w:rFonts w:hint="eastAsia"/>
        </w:rPr>
        <w:t>年至</w:t>
      </w:r>
      <w:r>
        <w:t>2021</w:t>
      </w:r>
      <w:r>
        <w:rPr>
          <w:rFonts w:hint="eastAsia"/>
        </w:rPr>
        <w:t>年</w:t>
      </w:r>
      <w:r>
        <w:t>5</w:t>
      </w:r>
      <w:r>
        <w:rPr>
          <w:rFonts w:hint="eastAsia"/>
        </w:rPr>
        <w:t>月，矿山一直处于生产状态。矿山每年均编制了储量年度报告。</w:t>
      </w:r>
    </w:p>
    <w:p>
      <w:pPr>
        <w:pStyle w:val="98"/>
        <w:ind w:firstLine="560"/>
      </w:pPr>
      <w:r>
        <w:t>2023</w:t>
      </w:r>
      <w:r>
        <w:rPr>
          <w:rFonts w:hint="eastAsia"/>
        </w:rPr>
        <w:t>年因技术改造，矿山停产。根据</w:t>
      </w:r>
      <w:r>
        <w:t>2023</w:t>
      </w:r>
      <w:r>
        <w:rPr>
          <w:rFonts w:hint="eastAsia"/>
        </w:rPr>
        <w:t>年</w:t>
      </w:r>
      <w:r>
        <w:t>12</w:t>
      </w:r>
      <w:r>
        <w:rPr>
          <w:rFonts w:hint="eastAsia"/>
        </w:rPr>
        <w:t>月辽宁省东煤地质一</w:t>
      </w:r>
      <w:r>
        <w:t>0</w:t>
      </w:r>
      <w:r>
        <w:rPr>
          <w:rFonts w:hint="eastAsia"/>
        </w:rPr>
        <w:t>一队有限责任公司提交的《辽宁省调兵山市硅灰石井巷矿</w:t>
      </w:r>
      <w:r>
        <w:t>2023</w:t>
      </w:r>
      <w:r>
        <w:rPr>
          <w:rFonts w:hint="eastAsia"/>
        </w:rPr>
        <w:t>年储量年度报告》，截止到</w:t>
      </w:r>
      <w:r>
        <w:t>2023</w:t>
      </w:r>
      <w:r>
        <w:rPr>
          <w:rFonts w:hint="eastAsia"/>
        </w:rPr>
        <w:t>年</w:t>
      </w:r>
      <w:r>
        <w:t>12</w:t>
      </w:r>
      <w:r>
        <w:rPr>
          <w:rFonts w:hint="eastAsia"/>
        </w:rPr>
        <w:t>月末矿山保有矿石量为</w:t>
      </w:r>
      <w:r>
        <w:t>55.83</w:t>
      </w:r>
      <w:r>
        <w:rPr>
          <w:rFonts w:hint="eastAsia"/>
        </w:rPr>
        <w:t>万吨，其中控制资源量为</w:t>
      </w:r>
      <w:r>
        <w:t>26.89</w:t>
      </w:r>
      <w:r>
        <w:rPr>
          <w:rFonts w:hint="eastAsia"/>
        </w:rPr>
        <w:t>万吨，推断资源量为</w:t>
      </w:r>
      <w:r>
        <w:t>28.94</w:t>
      </w:r>
      <w:r>
        <w:rPr>
          <w:rFonts w:hint="eastAsia"/>
        </w:rPr>
        <w:t>万吨；保有硅灰石精矿量</w:t>
      </w:r>
      <w:r>
        <w:t>27.94</w:t>
      </w:r>
      <w:r>
        <w:rPr>
          <w:rFonts w:hint="eastAsia"/>
        </w:rPr>
        <w:t>万吨，其中硅灰石精矿控制资源量为</w:t>
      </w:r>
      <w:r>
        <w:t>12.60</w:t>
      </w:r>
      <w:r>
        <w:rPr>
          <w:rFonts w:hint="eastAsia"/>
        </w:rPr>
        <w:t>万吨，硅灰石精矿量推断资源量为</w:t>
      </w:r>
      <w:r>
        <w:t>15.34</w:t>
      </w:r>
      <w:r>
        <w:rPr>
          <w:rFonts w:hint="eastAsia"/>
        </w:rPr>
        <w:t>万吨。</w:t>
      </w:r>
      <w:bookmarkEnd w:id="98"/>
      <w:bookmarkEnd w:id="99"/>
    </w:p>
    <w:p>
      <w:pPr>
        <w:pStyle w:val="98"/>
        <w:ind w:firstLine="560"/>
      </w:pPr>
      <w:bookmarkStart w:id="100" w:name="OLE_LINK91"/>
      <w:bookmarkStart w:id="101" w:name="OLE_LINK90"/>
      <w:r>
        <w:rPr>
          <w:rFonts w:hint="eastAsia"/>
        </w:rPr>
        <w:t>2024年10月，企业为了重新开工建设，取得了调兵山市工业和信息化局关于项目备案证明,备案文号：调工信备〔2024〕13号。</w:t>
      </w:r>
    </w:p>
    <w:p>
      <w:pPr>
        <w:pStyle w:val="98"/>
        <w:ind w:firstLine="560"/>
      </w:pPr>
      <w:r>
        <w:rPr>
          <w:rFonts w:hint="eastAsia"/>
        </w:rPr>
        <w:t>2024年11月，企业重新提交了《补充勘探报告》，地质资料勘查程度达到勘探要求。</w:t>
      </w:r>
      <w:bookmarkEnd w:id="100"/>
      <w:bookmarkEnd w:id="101"/>
    </w:p>
    <w:p>
      <w:pPr>
        <w:pStyle w:val="98"/>
        <w:ind w:firstLine="560"/>
      </w:pPr>
      <w:r>
        <w:rPr>
          <w:rFonts w:hint="eastAsia"/>
        </w:rPr>
        <w:t>根据《自然资源部关于推进矿产资源管理改革若干事项的意见(试行)》(自然资规</w:t>
      </w:r>
      <w:r>
        <w:t>[201</w:t>
      </w:r>
      <w:r>
        <w:rPr>
          <w:rFonts w:hint="eastAsia"/>
        </w:rPr>
        <w:t>9</w:t>
      </w:r>
      <w:r>
        <w:t>]</w:t>
      </w:r>
      <w:r>
        <w:rPr>
          <w:rFonts w:hint="eastAsia"/>
        </w:rPr>
        <w:t>7号)中明确：缩减矿产资源储量政府直接评审备案范围，减轻矿业权人负担。评审备案范围探矿权转采矿权、采矿权变更矿种与范围，油气矿产在探采矿期间探明地质储量、其他矿产在采矿期间资源量发生重大变化的(变化量超过30%或达到中型规模以上的)，以及建设项目压覆重要矿产，应当编制矿产资源储量报告，申请评审备案。</w:t>
      </w:r>
      <w:bookmarkStart w:id="102" w:name="OLE_LINK208"/>
      <w:bookmarkStart w:id="103" w:name="OLE_LINK209"/>
      <w:r>
        <w:rPr>
          <w:rFonts w:hint="eastAsia"/>
        </w:rPr>
        <w:t>本项目资源量变化量</w:t>
      </w:r>
      <w:bookmarkEnd w:id="102"/>
      <w:bookmarkEnd w:id="103"/>
      <w:r>
        <w:rPr>
          <w:rFonts w:hint="eastAsia"/>
        </w:rPr>
        <w:t>为7.8%，不超过30%，不在评审备案范围内。</w:t>
      </w:r>
    </w:p>
    <w:p>
      <w:pPr>
        <w:pStyle w:val="6"/>
        <w:ind w:firstLine="562" w:firstLineChars="200"/>
        <w:rPr>
          <w:rFonts w:hint="default"/>
        </w:rPr>
      </w:pPr>
      <w:r>
        <w:t>2.探矿权、采矿权取得、延续变更情况</w:t>
      </w:r>
    </w:p>
    <w:p>
      <w:pPr>
        <w:pStyle w:val="98"/>
        <w:ind w:firstLine="560"/>
      </w:pPr>
      <w:r>
        <w:rPr>
          <w:rFonts w:hint="eastAsia" w:hAnsi="宋体"/>
        </w:rPr>
        <w:t>调兵山市硅灰石井巷矿始建于1983年，属于镇办集体企业。</w:t>
      </w:r>
    </w:p>
    <w:p>
      <w:pPr>
        <w:pStyle w:val="98"/>
        <w:ind w:firstLine="560"/>
      </w:pPr>
      <w:bookmarkStart w:id="104" w:name="_Hlk74147251"/>
      <w:r>
        <w:rPr>
          <w:rFonts w:hint="eastAsia"/>
        </w:rPr>
        <w:t>2019年5月,矿山编制完成了《矿产资源开发利用方案》，报告经评审并备案，评审意见书：铁自事评(开)字〔2019〕03号),完成了采矿权缩界和延续工作(避让调兵山市南城子山城遗址保护区)，同时取消了原方案划分的三采区，确定矿区165m标高以下为二采区。</w:t>
      </w:r>
    </w:p>
    <w:p>
      <w:pPr>
        <w:pStyle w:val="98"/>
        <w:ind w:firstLine="560"/>
      </w:pPr>
      <w:r>
        <w:rPr>
          <w:rFonts w:hint="eastAsia"/>
        </w:rPr>
        <w:t>2019年10月，矿山取得了缩界后的采矿许可证，批准开采矿种为硅灰石，露天/地下开采方式，生产规模1万t/a。</w:t>
      </w:r>
      <w:r>
        <w:t>采矿许可证</w:t>
      </w:r>
      <w:r>
        <w:rPr>
          <w:rFonts w:hint="eastAsia"/>
        </w:rPr>
        <w:t>(</w:t>
      </w:r>
      <w:r>
        <w:t>证号：C2112002009047120014013)，矿区面积：</w:t>
      </w:r>
      <w:r>
        <w:rPr>
          <w:rFonts w:hint="eastAsia"/>
        </w:rPr>
        <w:t>0.2847</w:t>
      </w:r>
      <w:r>
        <w:t>km</w:t>
      </w:r>
      <w:r>
        <w:rPr>
          <w:vertAlign w:val="superscript"/>
        </w:rPr>
        <w:t>2</w:t>
      </w:r>
      <w:r>
        <w:t>，开采深度由+</w:t>
      </w:r>
      <w:r>
        <w:rPr>
          <w:rFonts w:hint="eastAsia"/>
        </w:rPr>
        <w:t>250</w:t>
      </w:r>
      <w:r>
        <w:t>m至+</w:t>
      </w:r>
      <w:r>
        <w:rPr>
          <w:rFonts w:hint="eastAsia"/>
        </w:rPr>
        <w:t>40</w:t>
      </w:r>
      <w:r>
        <w:t>m标高</w:t>
      </w:r>
      <w:r>
        <w:rPr>
          <w:rFonts w:hint="eastAsia"/>
        </w:rPr>
        <w:t>，</w:t>
      </w:r>
      <w:r>
        <w:t>有效期自</w:t>
      </w:r>
      <w:r>
        <w:rPr>
          <w:rFonts w:hint="eastAsia"/>
        </w:rPr>
        <w:t>2019年6月1日至2029年6月1日</w:t>
      </w:r>
      <w:r>
        <w:t>。</w:t>
      </w:r>
      <w:bookmarkEnd w:id="104"/>
    </w:p>
    <w:p>
      <w:pPr>
        <w:pStyle w:val="98"/>
        <w:ind w:firstLine="560"/>
      </w:pPr>
      <w:r>
        <w:rPr>
          <w:rFonts w:hint="eastAsia"/>
        </w:rPr>
        <w:t>2019年10月，企业取得</w:t>
      </w:r>
      <w:bookmarkStart w:id="105" w:name="OLE_LINK160"/>
      <w:r>
        <w:rPr>
          <w:rFonts w:hint="eastAsia"/>
        </w:rPr>
        <w:t>铁岭市自然资源局颁发采矿许可证</w:t>
      </w:r>
      <w:bookmarkEnd w:id="105"/>
      <w:r>
        <w:rPr>
          <w:rFonts w:hint="eastAsia"/>
        </w:rPr>
        <w:t>。</w:t>
      </w:r>
    </w:p>
    <w:p>
      <w:pPr>
        <w:pStyle w:val="98"/>
        <w:ind w:firstLine="560"/>
      </w:pPr>
      <w:r>
        <w:rPr>
          <w:rFonts w:hint="eastAsia"/>
        </w:rPr>
        <w:t>采矿许可证号：C2112002009047120014013</w:t>
      </w:r>
    </w:p>
    <w:p>
      <w:pPr>
        <w:pStyle w:val="98"/>
        <w:ind w:firstLine="560"/>
      </w:pPr>
      <w:r>
        <w:rPr>
          <w:rFonts w:hint="eastAsia"/>
        </w:rPr>
        <w:t>采矿权人：调兵山市硅灰石井巷矿</w:t>
      </w:r>
    </w:p>
    <w:p>
      <w:pPr>
        <w:pStyle w:val="98"/>
        <w:ind w:firstLine="560"/>
      </w:pPr>
      <w:r>
        <w:rPr>
          <w:rFonts w:hint="eastAsia"/>
        </w:rPr>
        <w:t>地    址：调兵山市晓南镇泉眼沟村</w:t>
      </w:r>
    </w:p>
    <w:p>
      <w:pPr>
        <w:pStyle w:val="98"/>
        <w:ind w:firstLine="560"/>
      </w:pPr>
      <w:r>
        <w:rPr>
          <w:rFonts w:hint="eastAsia"/>
        </w:rPr>
        <w:t>矿山名称：调兵山市硅灰石井巷矿</w:t>
      </w:r>
    </w:p>
    <w:p>
      <w:pPr>
        <w:pStyle w:val="98"/>
        <w:ind w:firstLine="560"/>
      </w:pPr>
      <w:r>
        <w:rPr>
          <w:rFonts w:hint="eastAsia"/>
        </w:rPr>
        <w:t>经济类型：集体企业</w:t>
      </w:r>
    </w:p>
    <w:p>
      <w:pPr>
        <w:pStyle w:val="98"/>
        <w:ind w:firstLine="560"/>
      </w:pPr>
      <w:r>
        <w:rPr>
          <w:rFonts w:hint="eastAsia"/>
        </w:rPr>
        <w:t>开采矿种：</w:t>
      </w:r>
      <w:r>
        <w:rPr>
          <w:rFonts w:hint="eastAsia" w:ascii="仿宋" w:hAnsi="仿宋" w:cs="仿宋"/>
        </w:rPr>
        <w:t>硅灰石</w:t>
      </w:r>
    </w:p>
    <w:p>
      <w:pPr>
        <w:pStyle w:val="98"/>
        <w:ind w:firstLine="560"/>
      </w:pPr>
      <w:r>
        <w:rPr>
          <w:rFonts w:hint="eastAsia"/>
        </w:rPr>
        <w:t>开采方式：</w:t>
      </w:r>
      <w:r>
        <w:rPr>
          <w:rFonts w:hint="eastAsia" w:ascii="仿宋" w:hAnsi="仿宋" w:cs="仿宋"/>
        </w:rPr>
        <w:t>露天/地下开采</w:t>
      </w:r>
    </w:p>
    <w:p>
      <w:pPr>
        <w:pStyle w:val="98"/>
        <w:ind w:firstLine="560"/>
      </w:pPr>
      <w:r>
        <w:rPr>
          <w:rFonts w:hint="eastAsia"/>
        </w:rPr>
        <w:t>生产规模：1.00万吨/年</w:t>
      </w:r>
    </w:p>
    <w:p>
      <w:pPr>
        <w:pStyle w:val="98"/>
        <w:ind w:firstLine="560"/>
      </w:pPr>
      <w:r>
        <w:t>矿区面积</w:t>
      </w:r>
      <w:r>
        <w:rPr>
          <w:rFonts w:hint="eastAsia"/>
        </w:rPr>
        <w:t>：0.2847平方公里</w:t>
      </w:r>
    </w:p>
    <w:p>
      <w:pPr>
        <w:pStyle w:val="98"/>
        <w:ind w:firstLine="560"/>
      </w:pPr>
      <w:r>
        <w:rPr>
          <w:rFonts w:hint="eastAsia"/>
        </w:rPr>
        <w:t>发证机关：铁岭市自然资源局</w:t>
      </w:r>
    </w:p>
    <w:p>
      <w:pPr>
        <w:pStyle w:val="98"/>
        <w:ind w:firstLine="560"/>
      </w:pPr>
      <w:r>
        <w:rPr>
          <w:rFonts w:hint="eastAsia"/>
        </w:rPr>
        <w:t>有效期限：壹拾年，自2019年6月1日至2029年6月1日</w:t>
      </w:r>
    </w:p>
    <w:p>
      <w:pPr>
        <w:pStyle w:val="98"/>
        <w:ind w:firstLine="560"/>
        <w:rPr>
          <w:rFonts w:ascii="宋体" w:hAnsi="宋体"/>
          <w:b/>
          <w:sz w:val="28"/>
          <w:szCs w:val="28"/>
        </w:rPr>
      </w:pPr>
      <w:r>
        <w:rPr>
          <w:rFonts w:hint="eastAsia"/>
        </w:rPr>
        <w:t>矿区范围由12个拐点圈定，开采深度由250m至40m标高。</w:t>
      </w:r>
    </w:p>
    <w:p>
      <w:pPr>
        <w:pStyle w:val="6"/>
        <w:ind w:firstLine="562" w:firstLineChars="200"/>
        <w:rPr>
          <w:rFonts w:hint="default"/>
        </w:rPr>
      </w:pPr>
      <w:r>
        <w:t>3.矿山现状</w:t>
      </w:r>
    </w:p>
    <w:p>
      <w:pPr>
        <w:pStyle w:val="98"/>
        <w:ind w:firstLine="560"/>
      </w:pPr>
      <w:r>
        <w:rPr>
          <w:rFonts w:hint="eastAsia"/>
        </w:rPr>
        <w:t>(1) 露天采坑</w:t>
      </w:r>
    </w:p>
    <w:p>
      <w:pPr>
        <w:pStyle w:val="98"/>
        <w:ind w:firstLine="560"/>
      </w:pPr>
      <w:r>
        <w:rPr>
          <w:rFonts w:hint="eastAsia"/>
        </w:rPr>
        <w:t>本矿山为多年开采的老矿山，初期采用露天开采，地表进行了不同程度的剥离，均为山坡采场，最大边坡高度17m，目前采坑已无明显痕迹，均被植被覆盖，可实现自流排水。</w:t>
      </w:r>
    </w:p>
    <w:p>
      <w:pPr>
        <w:pStyle w:val="98"/>
        <w:ind w:firstLine="560"/>
      </w:pPr>
      <w:r>
        <w:rPr>
          <w:rFonts w:hint="eastAsia"/>
        </w:rPr>
        <w:t>(2) 排土场</w:t>
      </w:r>
    </w:p>
    <w:p>
      <w:pPr>
        <w:pStyle w:val="98"/>
        <w:ind w:firstLine="560"/>
      </w:pPr>
      <w:r>
        <w:rPr>
          <w:rFonts w:hint="eastAsia"/>
        </w:rPr>
        <w:t>矿山早期开采在地表形成了1个排土场，堆存的为废石，已停止使用。</w:t>
      </w:r>
    </w:p>
    <w:p>
      <w:pPr>
        <w:pStyle w:val="98"/>
        <w:ind w:firstLine="560"/>
      </w:pPr>
      <w:r>
        <w:rPr>
          <w:rFonts w:hint="eastAsia"/>
        </w:rPr>
        <w:t>排土场位于3号勘探线东北侧，排土场长76m，宽48，最大堆存高度为26m，自然安歇，坡面角为38°。</w:t>
      </w:r>
    </w:p>
    <w:p>
      <w:pPr>
        <w:pStyle w:val="98"/>
        <w:ind w:firstLine="560"/>
      </w:pPr>
      <w:r>
        <w:rPr>
          <w:rFonts w:hint="eastAsia"/>
        </w:rPr>
        <w:t>设计基建期对该排土场进行治理，利用其废石进行场地平整及道路修整；治理后排土场顶标高160m，最大堆存高度20m，参考《冶金矿山排土场设计规范》(GB 51119-2015)第5.4.1条：排土场距工业场地安全防护距离不小于排土场2倍的堆置高度。设计地表井口、构筑物距矿山排土场距离大于排土场2倍的堆置高度，工业场地满足排土场安全防护距离要求，矿山地表建(构)筑物不受排土场影响。</w:t>
      </w:r>
    </w:p>
    <w:p>
      <w:pPr>
        <w:pStyle w:val="98"/>
        <w:ind w:firstLine="560"/>
      </w:pPr>
      <w:r>
        <w:rPr>
          <w:rFonts w:hint="eastAsia"/>
        </w:rPr>
        <w:t>设计排土场均位于岩石移动监测范围20m外，排土场不受矿井开采地表沉降影响。矿山排土场所处区域地质岩层稳定性较好，山体无崩塌、滑坡、泥石流等其它不良地质作用，排土场周围的山体是稳定的。根据区域地质构造资料分析，场区及其附近无活动性断裂构造通过，排土场所处场地不存在不良地质条件，岩体完整性较好，地形地貌条件也较稳定，地震活动较弱，场地基本稳定。</w:t>
      </w:r>
    </w:p>
    <w:p>
      <w:pPr>
        <w:pStyle w:val="98"/>
        <w:ind w:firstLine="560"/>
      </w:pPr>
      <w:r>
        <w:rPr>
          <w:rFonts w:hint="eastAsia"/>
        </w:rPr>
        <w:t>设计考虑地表水和雨水对于排土场稳定性的影响，因此需要采取一系列的工程措施进行水的治理和疏排工作。首先对排土场上方坡汇水截流，将水疏排至外围的低洼处，截洪沟采用矩形断面，采用浆砌石或原岩结构，尺寸为0.5m(宽)×0.4m(高)。其次是降低排土场本身的汇水不致浸蚀和冲刷边坡，将排岩平台修成3°左右的反坡，使水流向坡跟处的排水沟而排出。为避免排土场滚石滑落，设计在开采范围临近排土场侧沿排土场坡脚通长堆放大块石安全挡墙达到防滚石目的。</w:t>
      </w:r>
    </w:p>
    <w:p>
      <w:pPr>
        <w:pStyle w:val="98"/>
        <w:ind w:firstLine="560"/>
      </w:pPr>
      <w:r>
        <w:rPr>
          <w:rFonts w:hint="eastAsia"/>
        </w:rPr>
        <w:t>综上，排土场采取相应的安全对策措施后，地下开采对排土场的稳定性影响较小，且能确保排土场不会对后续地下开采产生影响。</w:t>
      </w:r>
    </w:p>
    <w:p>
      <w:pPr>
        <w:pStyle w:val="98"/>
        <w:ind w:firstLine="560"/>
      </w:pPr>
      <w:bookmarkStart w:id="106" w:name="OLE_LINK1"/>
      <w:bookmarkStart w:id="107" w:name="OLE_LINK7"/>
      <w:r>
        <w:rPr>
          <w:rFonts w:hint="eastAsia"/>
        </w:rPr>
        <w:t>(3)</w:t>
      </w:r>
      <w:bookmarkEnd w:id="106"/>
      <w:bookmarkEnd w:id="107"/>
      <w:r>
        <w:rPr>
          <w:rFonts w:hint="eastAsia"/>
        </w:rPr>
        <w:t xml:space="preserve"> 历史采空区</w:t>
      </w:r>
    </w:p>
    <w:p>
      <w:pPr>
        <w:pStyle w:val="98"/>
        <w:ind w:firstLine="560"/>
      </w:pPr>
      <w:r>
        <w:rPr>
          <w:rFonts w:hint="eastAsia"/>
        </w:rPr>
        <w:t>根据2023年12月</w:t>
      </w:r>
      <w:r>
        <w:rPr>
          <w:rFonts w:hint="eastAsia"/>
          <w:lang w:bidi="zh-CN"/>
        </w:rPr>
        <w:t>兰州有色冶金设计研究院有限公司沈阳分公司编制的《</w:t>
      </w:r>
      <w:r>
        <w:rPr>
          <w:rFonts w:hint="eastAsia"/>
          <w:bCs/>
        </w:rPr>
        <w:t>调兵山市硅灰石井巷矿(二采区)非煤地下</w:t>
      </w:r>
      <w:r>
        <w:rPr>
          <w:rFonts w:hint="eastAsia"/>
          <w:lang w:bidi="zh-CN"/>
        </w:rPr>
        <w:t>矿山隐蔽致灾因素普查治理报告》，</w:t>
      </w:r>
      <w:r>
        <w:rPr>
          <w:rFonts w:hint="eastAsia"/>
        </w:rPr>
        <w:t>并现场实际勘察可知，现状105m标高以上已开采结束，75m中段以上位于1+勘探线西南侧矿体已开采结束。矿山已对采空区进行了充填治理。井下共形成130m中段、105m中段、90m中段、75m中段、56m中段和45m中段共6个生产中段和1个160m水平回风中段，其中130m中段、105m中段、90m中段和75m中段内均形成了部分采空区。采空区参数详见下表。</w:t>
      </w:r>
    </w:p>
    <w:p>
      <w:pPr>
        <w:pStyle w:val="98"/>
        <w:ind w:firstLine="560"/>
      </w:pPr>
      <w:r>
        <w:rPr>
          <w:rFonts w:hint="eastAsia"/>
          <w:lang w:bidi="zh-CN"/>
        </w:rPr>
        <w:t>根据《隐蔽致灾因素普查治理报告》，矿山</w:t>
      </w:r>
      <w:r>
        <w:rPr>
          <w:rFonts w:hint="eastAsia"/>
        </w:rPr>
        <w:t>采空区治理方式分为块石胶结充填和废石充填两种方案。现有130-2号、130-5号、105-3号、105-9号、90-2号和75-2号采空区位于南城子山遗址保安矿柱和斜井保安矿柱内，为确保空区处理不会对地表设施及斜井井筒造成影响，矿山已对上述采空区采用块石胶结充填方案进行了处理。充填材料包括425号普通硅酸盐水泥、细骨料(取自当地河砂，粒径范围0.45～3.64mm)、废石、水。按1:4制成水泥砂浆，质量浓度为68%～70%，采用分层充填，每次充填高度为一个分层高(3m)，一次铺设3m厚块石，然后进行高强度砂浆进行块石缝隙充填，每分层充填完毕后养护期5～7天，养护结束，即进行下一分层的充填，采场的最后一分层充填，使其接近顶板，充填接顶率达到90%以上。全部分层充填完毕后养护后，充填体强度达到4Mpa。根据类似充填模拟实验数据，该强度可保证地表设施变形指标在规范允许范围内。采空区处理完毕后采用毛石混凝土封堵通往空区的巷道。其余采空区已采用上中段充填井回填废石或采用局部强制崩落围岩充填采空区，采空区充填率达到60%以上。矿山已采用毛石混凝土封堵通往空区的巷道，并在底部留设了泄水孔。</w:t>
      </w:r>
    </w:p>
    <w:p>
      <w:pPr>
        <w:pStyle w:val="98"/>
        <w:ind w:firstLine="560"/>
      </w:pPr>
      <w:r>
        <w:rPr>
          <w:rFonts w:hint="eastAsia"/>
          <w:lang w:bidi="zh-CN"/>
        </w:rPr>
        <w:t>该矿山矿体及围岩为坚硬岩组，井巷围岩稳固性较好。矿山已有多年开采历史，矿山原有主要井巷工程未见变形，地表未见沉降及变形等岩石移动现象。矿山已采用充填法处理了采空区，充填体起到接触支撑上下盘围岩作用，防止空区垮塌对井下产生的冲击波，可有效控制地表变形。通往采空区的废弃巷道已采用混凝土墙进行了封堵，</w:t>
      </w:r>
      <w:r>
        <w:rPr>
          <w:rFonts w:hint="eastAsia"/>
        </w:rPr>
        <w:t>采空区内积水可通过泄水孔自流排出，确保空区内无积水。</w:t>
      </w:r>
    </w:p>
    <w:p>
      <w:pPr>
        <w:pStyle w:val="98"/>
        <w:ind w:firstLine="560"/>
      </w:pPr>
      <w:r>
        <w:rPr>
          <w:rFonts w:hint="eastAsia"/>
        </w:rPr>
        <w:t>综上，矿山已对采空区进行了治理，确保了斜井井筒的安全稳定性，保证采空区下部基建、生产的安全可靠性。</w:t>
      </w:r>
    </w:p>
    <w:p>
      <w:pPr>
        <w:pStyle w:val="98"/>
        <w:ind w:firstLine="0" w:firstLineChars="0"/>
        <w:jc w:val="center"/>
        <w:rPr>
          <w:b/>
        </w:rPr>
      </w:pPr>
      <w:r>
        <w:rPr>
          <w:rFonts w:hint="eastAsia"/>
          <w:b/>
        </w:rPr>
        <w:t>表1-6 采空区现状参数一览表</w:t>
      </w:r>
    </w:p>
    <w:tbl>
      <w:tblPr>
        <w:tblStyle w:val="5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40"/>
        <w:gridCol w:w="765"/>
        <w:gridCol w:w="1522"/>
        <w:gridCol w:w="739"/>
        <w:gridCol w:w="739"/>
        <w:gridCol w:w="738"/>
        <w:gridCol w:w="1015"/>
        <w:gridCol w:w="1264"/>
        <w:gridCol w:w="1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序号</w:t>
            </w:r>
          </w:p>
        </w:tc>
        <w:tc>
          <w:tcPr>
            <w:tcW w:w="765"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中段</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采空区</w:t>
            </w:r>
            <w:r>
              <w:rPr>
                <w:rFonts w:asciiTheme="minorEastAsia" w:hAnsiTheme="minorEastAsia" w:eastAsiaTheme="minorEastAsia"/>
                <w:sz w:val="24"/>
              </w:rPr>
              <w:t>编号</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长(m)</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宽(m)</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垂高(m)</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积水情况</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已采取的处理方式</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平面面积㎡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765"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42</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5.2</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42</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6.2</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130-3号采空区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140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130-4号采空区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85</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7.3</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29</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130-5号采空区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125</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6.6</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18</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765"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28</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105-3号采空区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57</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105-4号采空区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33</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6.4</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105-5号采空区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6.3</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105-6号采空区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6.3</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105-7号采空区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5.8</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21</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105-8号采空区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5.8</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105-9号采空区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42</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765"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90m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90-1号采空区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64</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5.1</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90-2号采空区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58</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5.2</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bottom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bottom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bottom w:val="single" w:color="auto" w:sz="4" w:space="0"/>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op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765" w:type="dxa"/>
            <w:vMerge w:val="restart"/>
            <w:tcBorders>
              <w:top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75m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75-1号采空区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5.4</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top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top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top w:val="single" w:color="auto" w:sz="4" w:space="0"/>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75-2号采空区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381</w:t>
            </w:r>
          </w:p>
        </w:tc>
      </w:tr>
    </w:tbl>
    <w:p>
      <w:pPr>
        <w:pStyle w:val="98"/>
        <w:ind w:firstLine="560"/>
      </w:pPr>
      <w:r>
        <w:t>(</w:t>
      </w:r>
      <w:r>
        <w:rPr>
          <w:rFonts w:hint="eastAsia"/>
        </w:rPr>
        <w:t>4</w:t>
      </w:r>
      <w:r>
        <w:t>)</w:t>
      </w:r>
      <w:r>
        <w:rPr>
          <w:rFonts w:hint="eastAsia"/>
        </w:rPr>
        <w:t xml:space="preserve"> 现有井巷工程</w:t>
      </w:r>
    </w:p>
    <w:p>
      <w:pPr>
        <w:pStyle w:val="98"/>
        <w:ind w:firstLine="560"/>
      </w:pPr>
      <w:r>
        <w:rPr>
          <w:rFonts w:hint="eastAsia"/>
        </w:rPr>
        <w:t>矿山现有三条斜井，分别为斜井、斜井1和斜井2。</w:t>
      </w:r>
    </w:p>
    <w:p>
      <w:pPr>
        <w:pStyle w:val="98"/>
        <w:ind w:firstLine="560"/>
      </w:pPr>
      <w:r>
        <w:rPr>
          <w:rFonts w:hint="eastAsia"/>
        </w:rPr>
        <w:t>斜井井口标高164m，井底标高45m，斜井倾角23°，斜井总长度为305m，断面为三心拱形，净断面(宽×高)：2.3m×2.7m，井筒内现有踏步和扶手，斜井井口采用钢筋混凝土支护，支护厚度400mm～600mm，支护长度约45m，井筒保存完好。本次设计利用现有斜井作为回风斜井，担负矿山的回风任务。斜井井下形成130m中段、105m中段、90m中段、75m中段、56m中段和45m中段，断面为三心拱形，净断面(宽×高)：2.3m×2.7m，现有巷道均为沿脉巷道，本次设计仅利用现有75m和45m巷道为切割巷道，其余巷道均废弃封堵。</w:t>
      </w:r>
    </w:p>
    <w:p>
      <w:pPr>
        <w:pStyle w:val="98"/>
        <w:ind w:firstLine="560"/>
      </w:pPr>
      <w:r>
        <w:rPr>
          <w:rFonts w:hint="eastAsia"/>
        </w:rPr>
        <w:t>斜井1井口标高167m，井底标高130m，倾角37°，总长度为61.5m，该斜井1已废弃回填，地表已完成平场、复垦。斜井1井下形成160m中段和130m中段，设计巷道废弃封堵。</w:t>
      </w:r>
    </w:p>
    <w:p>
      <w:pPr>
        <w:pStyle w:val="98"/>
        <w:ind w:firstLine="560"/>
      </w:pPr>
      <w:r>
        <w:rPr>
          <w:rFonts w:hint="eastAsia"/>
        </w:rPr>
        <w:t>斜井2井口标高150m，井底标高130m，倾角11°，总长度为101m，断面为三心拱形，净断面(宽×高)：2.3m×2.7m，斜井2井口采用钢筋混凝土支护，支护厚度400mm～600mm，支护长度约10m。由于斜井2井口位于本次设计地表岩石移动监测范围以内，故本次设计不予利用废弃处理。斜井2底部与现有130m中段贯通，设计巷道废弃封堵。</w:t>
      </w:r>
    </w:p>
    <w:p>
      <w:pPr>
        <w:pStyle w:val="98"/>
        <w:ind w:firstLine="560"/>
      </w:pPr>
      <w:r>
        <w:rPr>
          <w:rFonts w:hint="eastAsia"/>
        </w:rPr>
        <w:t>设计矿山采用封闭法对废弃斜井、废弃巷道及采空区入口进行单墙封闭，墙体为浆砌石结构，石料强度等级Mu30，封闭厚度0.3m，混凝土抹缝，无凹凸，四边接茬严实，无漏风，混凝土强度等级C20，密闭墙的下部预埋两条直径159mm的PVC排水管作为泄水孔，密闭墙的下部预埋两条直径159mm的PVC排水管作为泄水孔，排水管距底板150mm，封闭墙中部距地面1.6m高位置设观察孔，用于日后观测废弃巷道内部情况，排出的涌水引至巷道排水沟。封闭墙外设置安全标志牌，标志牌上标注封闭时间、责任人及封堵编号，井下封堵位置与技术资料一一对应。</w:t>
      </w:r>
    </w:p>
    <w:p>
      <w:pPr>
        <w:pStyle w:val="98"/>
        <w:ind w:firstLine="560"/>
      </w:pPr>
      <w:r>
        <w:rPr>
          <w:rFonts w:hint="eastAsia"/>
        </w:rPr>
        <w:t>废弃井口及废弃巷道基建期处理完毕。</w:t>
      </w:r>
    </w:p>
    <w:p>
      <w:pPr>
        <w:pStyle w:val="6"/>
        <w:ind w:firstLine="562" w:firstLineChars="200"/>
        <w:rPr>
          <w:rFonts w:hint="default"/>
        </w:rPr>
      </w:pPr>
      <w:r>
        <w:t>4.原开发利用方案落实情况</w:t>
      </w:r>
    </w:p>
    <w:p>
      <w:pPr>
        <w:pStyle w:val="98"/>
        <w:ind w:firstLine="560"/>
      </w:pPr>
      <w:r>
        <w:rPr>
          <w:rFonts w:hint="eastAsia"/>
        </w:rPr>
        <w:t>企业于2019年10月委托</w:t>
      </w:r>
      <w:r>
        <w:rPr>
          <w:rFonts w:hint="eastAsia"/>
          <w:lang w:bidi="zh-CN"/>
        </w:rPr>
        <w:t>沈阳鼎唐矿业咨询有限公司</w:t>
      </w:r>
      <w:r>
        <w:rPr>
          <w:rFonts w:hint="eastAsia"/>
        </w:rPr>
        <w:t>编制了《调兵山市硅灰石井巷矿矿产资源开发利用方案</w:t>
      </w:r>
      <w:bookmarkStart w:id="108" w:name="OLE_LINK194"/>
      <w:bookmarkStart w:id="109" w:name="OLE_LINK197"/>
      <w:r>
        <w:rPr>
          <w:rFonts w:hint="eastAsia"/>
          <w:lang w:bidi="zh-CN"/>
        </w:rPr>
        <w:t>(调整方案)</w:t>
      </w:r>
      <w:bookmarkEnd w:id="108"/>
      <w:bookmarkEnd w:id="109"/>
      <w:r>
        <w:rPr>
          <w:rFonts w:hint="eastAsia"/>
        </w:rPr>
        <w:t>》，并于2019年10月取得了《&lt;调兵山市硅灰石井巷矿矿产资源开发利用方案(调整方案)&gt;审查意见书》(</w:t>
      </w:r>
      <w:r>
        <w:rPr>
          <w:rFonts w:hint="eastAsia"/>
          <w:lang w:bidi="zh-CN"/>
        </w:rPr>
        <w:t>铁自事评(开)字〔2020〕001号</w:t>
      </w:r>
      <w:r>
        <w:rPr>
          <w:rFonts w:hint="eastAsia"/>
        </w:rPr>
        <w:t>)，该方案共布置1套地下开拓系统。目前已取得</w:t>
      </w:r>
      <w:r>
        <w:t>采矿许可证(</w:t>
      </w:r>
      <w:r>
        <w:rPr>
          <w:rFonts w:hint="eastAsia"/>
        </w:rPr>
        <w:t>C2112002009047120014013</w:t>
      </w:r>
      <w:r>
        <w:t>)，</w:t>
      </w:r>
      <w:r>
        <w:rPr>
          <w:rFonts w:hint="eastAsia"/>
        </w:rPr>
        <w:t>矿区范围由12个拐点圈定，</w:t>
      </w:r>
      <w:r>
        <w:t>开采矿种为</w:t>
      </w:r>
      <w:r>
        <w:rPr>
          <w:rFonts w:hint="eastAsia"/>
        </w:rPr>
        <w:t>硅灰石</w:t>
      </w:r>
      <w:r>
        <w:t>，开采方式为</w:t>
      </w:r>
      <w:r>
        <w:rPr>
          <w:rFonts w:hint="eastAsia" w:ascii="仿宋" w:hAnsi="仿宋" w:cs="仿宋"/>
        </w:rPr>
        <w:t>露天/</w:t>
      </w:r>
      <w:r>
        <w:t>地下开采，生产规模为</w:t>
      </w:r>
      <w:r>
        <w:rPr>
          <w:rFonts w:hint="eastAsia"/>
        </w:rPr>
        <w:t>1</w:t>
      </w:r>
      <w:r>
        <w:t>万t/a</w:t>
      </w:r>
      <w:r>
        <w:rPr>
          <w:rFonts w:hint="eastAsia"/>
        </w:rPr>
        <w:t>，</w:t>
      </w:r>
      <w:r>
        <w:t>开采深度</w:t>
      </w:r>
      <w:r>
        <w:rPr>
          <w:rFonts w:hint="eastAsia"/>
        </w:rPr>
        <w:t>为250</w:t>
      </w:r>
      <w:r>
        <w:t>m至</w:t>
      </w:r>
      <w:r>
        <w:rPr>
          <w:rFonts w:hint="eastAsia"/>
        </w:rPr>
        <w:t>40</w:t>
      </w:r>
      <w:r>
        <w:t>m标高</w:t>
      </w:r>
      <w:r>
        <w:rPr>
          <w:rFonts w:hint="eastAsia"/>
        </w:rPr>
        <w:t>，</w:t>
      </w:r>
      <w:r>
        <w:t>矿区面积</w:t>
      </w:r>
      <w:r>
        <w:rPr>
          <w:rFonts w:hint="eastAsia"/>
        </w:rPr>
        <w:t>0.2847</w:t>
      </w:r>
      <w:r>
        <w:t>km</w:t>
      </w:r>
      <w:r>
        <w:rPr>
          <w:vertAlign w:val="superscript"/>
        </w:rPr>
        <w:t>2</w:t>
      </w:r>
      <w:r>
        <w:rPr>
          <w:rFonts w:hint="eastAsia"/>
        </w:rPr>
        <w:t>。</w:t>
      </w:r>
    </w:p>
    <w:p>
      <w:pPr>
        <w:adjustRightInd w:val="0"/>
        <w:snapToGrid w:val="0"/>
        <w:spacing w:after="156" w:afterLines="50" w:line="40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表1-8 本次方案与原方案对比表</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328"/>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原方案情况</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本次方案情况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生产规模</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1万t/a</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开采方式</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地下开采</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地下开采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开采对象</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Ⅰ号矿体</w:t>
            </w:r>
            <w:r>
              <w:rPr>
                <w:rFonts w:asciiTheme="minorEastAsia" w:hAnsiTheme="minorEastAsia" w:eastAsiaTheme="minorEastAsia"/>
                <w:sz w:val="24"/>
              </w:rPr>
              <w:t>(Wo</w:t>
            </w:r>
            <w:r>
              <w:rPr>
                <w:rFonts w:hint="eastAsia" w:asciiTheme="minorEastAsia" w:hAnsiTheme="minorEastAsia" w:eastAsiaTheme="minorEastAsia"/>
                <w:sz w:val="24"/>
              </w:rPr>
              <w:t>Ⅰ</w:t>
            </w:r>
            <w:r>
              <w:rPr>
                <w:rFonts w:asciiTheme="minorEastAsia" w:hAnsiTheme="minorEastAsia" w:eastAsiaTheme="minorEastAsia"/>
                <w:sz w:val="24"/>
              </w:rPr>
              <w:t>)</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Ⅰ号矿体</w:t>
            </w:r>
            <w:r>
              <w:rPr>
                <w:rFonts w:asciiTheme="minorEastAsia" w:hAnsiTheme="minorEastAsia" w:eastAsiaTheme="minorEastAsia"/>
                <w:sz w:val="24"/>
              </w:rPr>
              <w:t>(Wo</w:t>
            </w:r>
            <w:r>
              <w:rPr>
                <w:rFonts w:hint="eastAsia" w:asciiTheme="minorEastAsia" w:hAnsiTheme="minorEastAsia" w:eastAsiaTheme="minorEastAsia"/>
                <w:sz w:val="24"/>
              </w:rPr>
              <w:t>Ⅰ</w:t>
            </w:r>
            <w:r>
              <w:rPr>
                <w:rFonts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设计利用资源量</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24.543万t</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15.933万t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服务年限</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19.32年</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18年（含基建期）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开拓系统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斜井</w:t>
            </w:r>
            <w:r>
              <w:rPr>
                <w:rFonts w:asciiTheme="minorEastAsia" w:hAnsiTheme="minorEastAsia" w:eastAsiaTheme="minorEastAsia"/>
                <w:sz w:val="24"/>
              </w:rPr>
              <w:t>开拓方式</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斜坡道开拓方式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提升、运输系统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提升系统为斜井提升，井下运输采用有轨运输</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井下运输采用无轨运输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通风系统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主斜井入风，西翼回风井，东翼回风井回风</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斜坡道入风，回风斜井（原主斜井）回风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排水系统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井下采用一段式排水</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井下采用一段式排水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采矿方法</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bCs/>
                <w:sz w:val="24"/>
              </w:rPr>
              <w:t>分段采矿方法</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bCs/>
                <w:sz w:val="24"/>
              </w:rPr>
              <w:t>浅孔留矿嗣后充填法</w:t>
            </w:r>
          </w:p>
        </w:tc>
      </w:tr>
    </w:tbl>
    <w:p>
      <w:pPr>
        <w:widowControl/>
        <w:jc w:val="left"/>
        <w:rPr>
          <w:rFonts w:ascii="宋体" w:hAnsi="宋体" w:cs="宋体"/>
          <w:sz w:val="28"/>
          <w:szCs w:val="28"/>
        </w:rPr>
      </w:pPr>
      <w:r>
        <w:rPr>
          <w:rFonts w:ascii="宋体" w:hAnsi="宋体" w:cs="宋体"/>
          <w:sz w:val="28"/>
          <w:szCs w:val="28"/>
        </w:rPr>
        <w:br w:type="page"/>
      </w:r>
    </w:p>
    <w:p>
      <w:pPr>
        <w:pStyle w:val="3"/>
        <w:jc w:val="center"/>
      </w:pPr>
      <w:bookmarkStart w:id="110" w:name="_Toc187151547"/>
      <w:bookmarkStart w:id="111" w:name="_Toc167307738"/>
      <w:bookmarkStart w:id="112" w:name="_Toc188453617"/>
      <w:r>
        <w:rPr>
          <w:rFonts w:hint="eastAsia"/>
        </w:rPr>
        <w:t>二、矿区地质与矿产资源情况</w:t>
      </w:r>
      <w:bookmarkEnd w:id="110"/>
      <w:bookmarkEnd w:id="111"/>
      <w:bookmarkEnd w:id="112"/>
    </w:p>
    <w:p>
      <w:pPr>
        <w:pStyle w:val="467"/>
        <w:ind w:left="0" w:firstLine="602" w:firstLineChars="200"/>
      </w:pPr>
      <w:bookmarkStart w:id="113" w:name="_Toc187151548"/>
      <w:bookmarkStart w:id="114" w:name="_Toc188453618"/>
      <w:bookmarkStart w:id="115" w:name="_Toc167307739"/>
      <w:r>
        <w:rPr>
          <w:rFonts w:hint="eastAsia"/>
        </w:rPr>
        <w:t>（一）矿床地质与矿体特征</w:t>
      </w:r>
      <w:bookmarkEnd w:id="113"/>
      <w:bookmarkEnd w:id="114"/>
      <w:bookmarkEnd w:id="115"/>
    </w:p>
    <w:p>
      <w:pPr>
        <w:pStyle w:val="6"/>
        <w:ind w:firstLine="562" w:firstLineChars="200"/>
        <w:rPr>
          <w:rFonts w:hint="default"/>
        </w:rPr>
      </w:pPr>
      <w:r>
        <w:t>1.区域地质及矿区地质特征</w:t>
      </w:r>
    </w:p>
    <w:p>
      <w:pPr>
        <w:pStyle w:val="98"/>
        <w:ind w:firstLine="560"/>
      </w:pPr>
      <w:bookmarkStart w:id="116" w:name="_Hlk171601502"/>
      <w:bookmarkStart w:id="117" w:name="_Toc142406877"/>
      <w:bookmarkStart w:id="118" w:name="_Toc146115789"/>
      <w:bookmarkStart w:id="119" w:name="_Toc146115706"/>
      <w:r>
        <w:rPr>
          <w:rFonts w:hint="eastAsia"/>
        </w:rPr>
        <w:t>矿区位于华北断块下辽河-辽东湾断块拗陷带的北缘，区域上与吉林省硅灰石成矿带同处于吉黑地槽构造隆起带的南缘，成矿带受调兵山复背斜两翼的大理岩层位控制明显。</w:t>
      </w:r>
    </w:p>
    <w:p>
      <w:pPr>
        <w:pStyle w:val="98"/>
        <w:ind w:firstLine="560"/>
      </w:pPr>
      <w:r>
        <w:rPr>
          <w:rFonts w:hint="eastAsia"/>
        </w:rPr>
        <w:t>(1) 矿区地层</w:t>
      </w:r>
    </w:p>
    <w:p>
      <w:pPr>
        <w:pStyle w:val="98"/>
        <w:ind w:firstLine="560"/>
      </w:pPr>
      <w:r>
        <w:rPr>
          <w:rFonts w:hint="eastAsia"/>
        </w:rPr>
        <w:t>矿内出露地层主要为下古生界富拉堡子岩组硅灰石化大理岩、方解石大理岩、黑云角闪变粒岩、浅粒岩夹斜长角闪岩，其中大理岩为硅灰石矿体的含矿层位。</w:t>
      </w:r>
    </w:p>
    <w:p>
      <w:pPr>
        <w:pStyle w:val="98"/>
        <w:ind w:firstLine="560"/>
      </w:pPr>
      <w:r>
        <w:rPr>
          <w:rFonts w:hint="eastAsia"/>
        </w:rPr>
        <w:t>大理岩(mb)：主要为硅灰石化大理岩、方解石大理岩出露于矿区中部，岩石为灰白色，中粒变晶结构，块状构造。矿物成分主要由方解石组成，粒径0.5～3mm。岩石局部发育裂隙，有充填方解石脉充填。次要矿物为石英、长石及少量云母。该层为硅灰石矿体含矿母岩。</w:t>
      </w:r>
    </w:p>
    <w:p>
      <w:pPr>
        <w:pStyle w:val="98"/>
        <w:ind w:firstLine="560"/>
      </w:pPr>
      <w:r>
        <w:rPr>
          <w:rFonts w:hint="eastAsia"/>
        </w:rPr>
        <w:t>黑云角闪变粒岩(abl)：主要分布于矿区南部，规模不大。岩石呈灰绿色、灰黑色等粒变晶结构，块状构造。矿物粒径0.1～0.7mm，岩石主要由斜长石约45%、石英约10%、角闪石约30%、黑云母约10%组成。次要矿物主要为锆石、磁铁矿等。</w:t>
      </w:r>
    </w:p>
    <w:p>
      <w:pPr>
        <w:pStyle w:val="98"/>
        <w:ind w:firstLine="560"/>
      </w:pPr>
      <w:r>
        <w:rPr>
          <w:rFonts w:hint="eastAsia"/>
        </w:rPr>
        <w:t>浅粒岩(gnt)：主要分布于矿区东南部，其他部位亦有零星出露。岩石呈浅灰色至浅肉红色，微细粒变晶结构，块状构造。矿物粒度一般为0.1—0.5mm之间。主要成分为斜长石、石英、钾长石、绿帘石及少量碳酸盐矿物组成。</w:t>
      </w:r>
    </w:p>
    <w:p>
      <w:pPr>
        <w:pStyle w:val="98"/>
        <w:ind w:firstLine="560"/>
      </w:pPr>
      <w:r>
        <w:rPr>
          <w:rFonts w:hint="eastAsia"/>
        </w:rPr>
        <w:t>第四系(Q)：为残坡积和洪—冲积层，主要分布于山坡和沟谷中，其厚度一般在2～5m，局部厚度可达10m，植被发育，岩性为亚砂土、亚粘土、岩屑和砾石。砾石主要为含墨透闪变粒岩、斜长角闪岩、伟晶岩等。</w:t>
      </w:r>
    </w:p>
    <w:p>
      <w:pPr>
        <w:pStyle w:val="98"/>
        <w:ind w:firstLine="560"/>
      </w:pPr>
      <w:r>
        <w:rPr>
          <w:rFonts w:hint="eastAsia"/>
        </w:rPr>
        <w:t>(2) 构造</w:t>
      </w:r>
    </w:p>
    <w:p>
      <w:pPr>
        <w:pStyle w:val="98"/>
        <w:ind w:firstLine="560"/>
      </w:pPr>
      <w:r>
        <w:rPr>
          <w:rFonts w:hint="eastAsia"/>
        </w:rPr>
        <w:t>矿区内构造较简单，主要为位于矿区东部的断裂构造。断裂呈北东向，见有宽约2.0m的挤压破碎带，带内有断层角砾及断层泥。</w:t>
      </w:r>
    </w:p>
    <w:p>
      <w:pPr>
        <w:pStyle w:val="98"/>
        <w:ind w:firstLine="560"/>
      </w:pPr>
      <w:r>
        <w:rPr>
          <w:rFonts w:hint="eastAsia"/>
        </w:rPr>
        <w:t>(3) 岩浆岩</w:t>
      </w:r>
    </w:p>
    <w:p>
      <w:pPr>
        <w:pStyle w:val="98"/>
        <w:ind w:firstLine="560"/>
      </w:pPr>
      <w:bookmarkStart w:id="120" w:name="OLE_LINK31"/>
      <w:bookmarkStart w:id="121" w:name="OLE_LINK26"/>
      <w:r>
        <w:rPr>
          <w:rFonts w:hint="eastAsia"/>
        </w:rPr>
        <w:t>矿区内岩浆较发育，主要为印支期蚀变闪长岩和灰绿岩脉。</w:t>
      </w:r>
    </w:p>
    <w:p>
      <w:pPr>
        <w:pStyle w:val="98"/>
        <w:ind w:firstLine="560"/>
      </w:pPr>
      <w:r>
        <w:rPr>
          <w:rFonts w:hint="eastAsia"/>
        </w:rPr>
        <w:t>蚀变闪长岩(δ</w:t>
      </w:r>
      <w:r>
        <w:rPr>
          <w:rFonts w:hint="eastAsia"/>
          <w:vertAlign w:val="superscript"/>
        </w:rPr>
        <w:t>1</w:t>
      </w:r>
      <w:r>
        <w:rPr>
          <w:rFonts w:hint="eastAsia"/>
          <w:vertAlign w:val="subscript"/>
        </w:rPr>
        <w:t>5</w:t>
      </w:r>
      <w:r>
        <w:rPr>
          <w:rFonts w:hint="eastAsia"/>
        </w:rPr>
        <w:t>)：广泛分布于矿区北部和中南部，呈岩基产出。岩石呈灰绿色，中粒变晶结构，片麻状构造。主要矿物成分主要为斜长石、角闪石及少量石英，石英呈浑圆状，角闪石蚀变成黑云母。普遍见有绿泥石化，另外见有少量金属矿物。</w:t>
      </w:r>
    </w:p>
    <w:p>
      <w:pPr>
        <w:pStyle w:val="98"/>
        <w:ind w:firstLine="560"/>
      </w:pPr>
      <w:r>
        <w:rPr>
          <w:rFonts w:hint="eastAsia"/>
        </w:rPr>
        <w:t>辉绿岩脉(βμ)：分布于矿区中部、南部呈脉状产出。岩石呈灰绿色，辉绿结构，块状构造，主要矿物成分为斜长石、辉石、角闪石。此外矿区内还见有少量石英脉出露，规模较小，一般宽度在10cm～15cm，沿走向延长较短。</w:t>
      </w:r>
    </w:p>
    <w:bookmarkEnd w:id="120"/>
    <w:bookmarkEnd w:id="121"/>
    <w:p>
      <w:pPr>
        <w:pStyle w:val="98"/>
        <w:ind w:firstLine="560"/>
      </w:pPr>
      <w:r>
        <w:rPr>
          <w:rFonts w:hint="eastAsia"/>
        </w:rPr>
        <w:t xml:space="preserve">(4) 变质作用及围岩蚀变 </w:t>
      </w:r>
    </w:p>
    <w:bookmarkEnd w:id="116"/>
    <w:p>
      <w:pPr>
        <w:pStyle w:val="98"/>
        <w:ind w:firstLine="560"/>
      </w:pPr>
      <w:r>
        <w:rPr>
          <w:rFonts w:hint="eastAsia"/>
        </w:rPr>
        <w:t>矿区内岩石主要受高力沟单元闪长岩侵入影响，使地层残留体发生接触变质。根据形成矿物大致为热接触变质作用(主要为大理岩化、角岩化)。</w:t>
      </w:r>
    </w:p>
    <w:p>
      <w:pPr>
        <w:pStyle w:val="98"/>
        <w:ind w:firstLine="560"/>
      </w:pPr>
      <w:r>
        <w:rPr>
          <w:rFonts w:hint="eastAsia"/>
        </w:rPr>
        <w:t>接触变质作用：分布范围广泛，岩体附近的地层由于受岩浆热力影响，发生不同程度的重结晶和褪色现象，蚀变带宽度往往可达几十米至几百米。主要蚀变有大理岩化、硅灰石化、透辉石化、透闪石化及角岩化等。</w:t>
      </w:r>
    </w:p>
    <w:p>
      <w:pPr>
        <w:pStyle w:val="98"/>
        <w:ind w:firstLine="560"/>
      </w:pPr>
      <w:r>
        <w:rPr>
          <w:rFonts w:hint="eastAsia"/>
        </w:rPr>
        <w:t>(5) 成矿规律</w:t>
      </w:r>
    </w:p>
    <w:p>
      <w:pPr>
        <w:pStyle w:val="98"/>
        <w:ind w:firstLine="560"/>
      </w:pPr>
      <w:r>
        <w:rPr>
          <w:rFonts w:hint="eastAsia"/>
        </w:rPr>
        <w:t>1) 控矿因素</w:t>
      </w:r>
    </w:p>
    <w:p>
      <w:pPr>
        <w:pStyle w:val="98"/>
        <w:ind w:firstLine="560"/>
      </w:pPr>
      <w:r>
        <w:rPr>
          <w:rFonts w:hint="eastAsia"/>
        </w:rPr>
        <w:t>① 原岩条件</w:t>
      </w:r>
    </w:p>
    <w:p>
      <w:pPr>
        <w:pStyle w:val="98"/>
        <w:ind w:firstLine="560"/>
      </w:pPr>
      <w:r>
        <w:rPr>
          <w:rFonts w:hint="eastAsia"/>
        </w:rPr>
        <w:t>富拉堡子岩组硅灰石化大理岩是硅灰石矿的直接赋矿围岩，由于造矿物质中的硅和钙均来自硅质灰岩本身，因而矿体的形态、矿石质量以及与硅灰石相伴生的杂质及其含量均受原岩沉积建造控制，矿体均沿原地层中富硅灰岩层位分布，呈层状、似层状或透镜状产出，其成矿区为侵入体热力所及的范围。因控矿地层均为被岩体捕虏的残留体，故矿化普遍较好，但矿化强弱取决于原岩中钙和硅配比值，CaO/SiO</w:t>
      </w:r>
      <w:r>
        <w:rPr>
          <w:rFonts w:hint="eastAsia"/>
          <w:vertAlign w:val="subscript"/>
        </w:rPr>
        <w:t>2</w:t>
      </w:r>
      <w:r>
        <w:rPr>
          <w:rFonts w:hint="eastAsia"/>
        </w:rPr>
        <w:t>越趋近理论值(0.93)时，越易于成矿，反之则不易成矿。</w:t>
      </w:r>
    </w:p>
    <w:p>
      <w:pPr>
        <w:pStyle w:val="98"/>
        <w:ind w:firstLine="560"/>
      </w:pPr>
      <w:r>
        <w:rPr>
          <w:rFonts w:hint="eastAsia"/>
        </w:rPr>
        <w:t>② 岩浆岩条件</w:t>
      </w:r>
      <w:r>
        <w:rPr>
          <w:rFonts w:hint="eastAsia"/>
        </w:rPr>
        <w:tab/>
      </w:r>
    </w:p>
    <w:p>
      <w:pPr>
        <w:pStyle w:val="98"/>
        <w:ind w:firstLine="560"/>
      </w:pPr>
      <w:r>
        <w:rPr>
          <w:rFonts w:hint="eastAsia"/>
        </w:rPr>
        <w:t>硅灰石矿体产于岩体内的硅灰石化大理岩中，由于三叠世早、中期岩体大规模侵入，导致控矿地层残留体重复遭受热变质作用，所形成的矿体只局限于地层中，而在其接触面附近仅局部形成矽卡岩，但没有或只有少量硅灰石生成，岩体仅为外接触带硅质灰岩的硅灰石化提供所需的热能。</w:t>
      </w:r>
    </w:p>
    <w:p>
      <w:pPr>
        <w:pStyle w:val="98"/>
        <w:ind w:firstLine="560"/>
      </w:pPr>
      <w:r>
        <w:rPr>
          <w:rFonts w:hint="eastAsia"/>
        </w:rPr>
        <w:t>③ 构造条件</w:t>
      </w:r>
    </w:p>
    <w:p>
      <w:pPr>
        <w:pStyle w:val="98"/>
        <w:ind w:firstLine="560"/>
      </w:pPr>
      <w:r>
        <w:rPr>
          <w:rFonts w:hint="eastAsia"/>
        </w:rPr>
        <w:t>因硅灰石是热接触变质矿物，在硅灰石形成过程中，需释放一定量的CO</w:t>
      </w:r>
      <w:r>
        <w:rPr>
          <w:rFonts w:hint="eastAsia"/>
          <w:vertAlign w:val="subscript"/>
        </w:rPr>
        <w:t>2</w:t>
      </w:r>
      <w:r>
        <w:rPr>
          <w:rFonts w:hint="eastAsia"/>
        </w:rPr>
        <w:t>(反应式CaCO</w:t>
      </w:r>
      <w:r>
        <w:rPr>
          <w:rFonts w:hint="eastAsia"/>
          <w:vertAlign w:val="subscript"/>
        </w:rPr>
        <w:t>3</w:t>
      </w:r>
      <w:r>
        <w:rPr>
          <w:rFonts w:hint="eastAsia"/>
        </w:rPr>
        <w:t>+SiO</w:t>
      </w:r>
      <w:r>
        <w:rPr>
          <w:rFonts w:hint="eastAsia"/>
          <w:vertAlign w:val="subscript"/>
        </w:rPr>
        <w:t>2</w:t>
      </w:r>
      <w:r>
        <w:rPr>
          <w:rFonts w:hint="eastAsia"/>
        </w:rPr>
        <w:t>=CaSiO</w:t>
      </w:r>
      <w:r>
        <w:rPr>
          <w:rFonts w:hint="eastAsia"/>
          <w:vertAlign w:val="subscript"/>
        </w:rPr>
        <w:t>3</w:t>
      </w:r>
      <w:r>
        <w:rPr>
          <w:rFonts w:hint="eastAsia"/>
        </w:rPr>
        <w:t>+CO</w:t>
      </w:r>
      <w:r>
        <w:rPr>
          <w:rFonts w:hint="eastAsia"/>
          <w:vertAlign w:val="subscript"/>
        </w:rPr>
        <w:t>2</w:t>
      </w:r>
      <w:r>
        <w:rPr>
          <w:rFonts w:hint="eastAsia"/>
        </w:rPr>
        <w:t>↑)，这就需要有供气体逸出的半封闭构造环境。从区内露头和施工的钻孔来看，矿体盖层的大理岩中裂隙均普遍发育，主要为一组北西向正断层和一组北东向逆断层。但有了这种构造环境，若太深CO</w:t>
      </w:r>
      <w:r>
        <w:rPr>
          <w:rFonts w:hint="eastAsia"/>
          <w:vertAlign w:val="subscript"/>
        </w:rPr>
        <w:t>2</w:t>
      </w:r>
      <w:r>
        <w:rPr>
          <w:rFonts w:hint="eastAsia"/>
        </w:rPr>
        <w:t>不易逸出，不利于充分反应，过浅则不利于保温，只有在适当的温度(400～450℃)和埋深情况下才能使岩体的热能不易迅速散发，从而使硅质灰岩成矿。从本区矿体出露部位看，正具备这种成矿的条件，因此，矿化较好。这与有溶(洞)隙和晚期脉岩切割部位往往矿化较好现象相吻合。所以原岩能否成矿与这种半开放系统有关。</w:t>
      </w:r>
    </w:p>
    <w:p>
      <w:pPr>
        <w:pStyle w:val="98"/>
        <w:ind w:firstLine="560"/>
      </w:pPr>
      <w:r>
        <w:rPr>
          <w:rFonts w:hint="eastAsia"/>
        </w:rPr>
        <w:t>鉴于上述原因，区内硅灰石的控矿因素为：A存在成矿原岩-硅质灰岩；B有岩体提供成矿时所需的足够热能；C具有半开放状态下形成的构造环境。</w:t>
      </w:r>
    </w:p>
    <w:p>
      <w:pPr>
        <w:pStyle w:val="98"/>
        <w:ind w:firstLine="560"/>
      </w:pPr>
      <w:r>
        <w:rPr>
          <w:rFonts w:hint="eastAsia"/>
        </w:rPr>
        <w:t>2) 找矿标志</w:t>
      </w:r>
    </w:p>
    <w:p>
      <w:pPr>
        <w:pStyle w:val="98"/>
        <w:ind w:firstLine="560"/>
      </w:pPr>
      <w:r>
        <w:rPr>
          <w:rFonts w:hint="eastAsia"/>
        </w:rPr>
        <w:t>①</w:t>
      </w:r>
      <w:r>
        <w:t xml:space="preserve"> </w:t>
      </w:r>
      <w:r>
        <w:rPr>
          <w:rFonts w:hint="eastAsia"/>
        </w:rPr>
        <w:t>在硅质大理岩以及含碳酸盐地层与中浅成酸性侵入体接触外带附近，常见绿帘石化、角岩化、碳酸盐化等蚀变；</w:t>
      </w:r>
    </w:p>
    <w:p>
      <w:pPr>
        <w:pStyle w:val="98"/>
        <w:ind w:firstLine="560"/>
      </w:pPr>
      <w:r>
        <w:rPr>
          <w:rFonts w:hint="eastAsia"/>
        </w:rPr>
        <w:t>②</w:t>
      </w:r>
      <w:r>
        <w:t xml:space="preserve"> </w:t>
      </w:r>
      <w:r>
        <w:rPr>
          <w:rFonts w:hint="eastAsia"/>
        </w:rPr>
        <w:t>硅灰石矿化常沿大理岩中富硅层位发育，质纯大理岩无矿化。</w:t>
      </w:r>
    </w:p>
    <w:p>
      <w:pPr>
        <w:pStyle w:val="98"/>
        <w:ind w:firstLine="560"/>
      </w:pPr>
      <w:r>
        <w:rPr>
          <w:rFonts w:hint="eastAsia"/>
        </w:rPr>
        <w:t>3) 矿床成因</w:t>
      </w:r>
    </w:p>
    <w:p>
      <w:pPr>
        <w:pStyle w:val="98"/>
        <w:ind w:firstLine="560"/>
      </w:pPr>
      <w:r>
        <w:rPr>
          <w:rFonts w:hint="eastAsia"/>
        </w:rPr>
        <w:t>由于矿床受富拉堡子岩组硅灰石化大理岩层位控制，矿体顺层产出，矿石中矿物成分简单，热变质矿物硅灰石化、大理岩化均取决原岩成分，而在闪长岩体的外接触带形成的矽卡岩中偶见硅灰石，说明硅灰石矿化与岩体对围岩的交代作用无关，也就是说在硅灰石矿化过程中无岩浆热液参加。矿床形成主要是受侵入体的烘烤及提供足够热量发生的热接触变质而成。因此，矿床的成因类型应属层控接触热变质型，工业类型为大理岩型硅灰石矿床。</w:t>
      </w:r>
    </w:p>
    <w:p>
      <w:pPr>
        <w:pStyle w:val="98"/>
        <w:ind w:firstLine="560"/>
      </w:pPr>
      <w:r>
        <w:rPr>
          <w:rFonts w:hint="eastAsia"/>
        </w:rPr>
        <w:t>4) 矿体富集规律</w:t>
      </w:r>
    </w:p>
    <w:p>
      <w:pPr>
        <w:pStyle w:val="98"/>
        <w:ind w:firstLine="560"/>
      </w:pPr>
      <w:r>
        <w:rPr>
          <w:rFonts w:hint="eastAsia"/>
        </w:rPr>
        <w:t>矿体严格受岩体的分布范围控制。其富集规律为：</w:t>
      </w:r>
    </w:p>
    <w:p>
      <w:pPr>
        <w:pStyle w:val="98"/>
        <w:ind w:firstLine="560"/>
      </w:pPr>
      <w:r>
        <w:rPr>
          <w:rFonts w:hint="eastAsia"/>
        </w:rPr>
        <w:t>①</w:t>
      </w:r>
      <w:r>
        <w:t xml:space="preserve"> </w:t>
      </w:r>
      <w:r>
        <w:rPr>
          <w:rFonts w:hint="eastAsia"/>
        </w:rPr>
        <w:t>主矿体富集在延长远、延深大的残留体内；</w:t>
      </w:r>
    </w:p>
    <w:p>
      <w:pPr>
        <w:pStyle w:val="98"/>
        <w:ind w:firstLine="560"/>
      </w:pPr>
      <w:r>
        <w:rPr>
          <w:rFonts w:hint="eastAsia"/>
        </w:rPr>
        <w:t>②</w:t>
      </w:r>
      <w:r>
        <w:t xml:space="preserve"> </w:t>
      </w:r>
      <w:r>
        <w:rPr>
          <w:rFonts w:hint="eastAsia"/>
        </w:rPr>
        <w:t>复层出现的硅灰石品位往往比单层品位高，矿量大；</w:t>
      </w:r>
    </w:p>
    <w:p>
      <w:pPr>
        <w:pStyle w:val="98"/>
        <w:ind w:firstLine="560"/>
      </w:pPr>
      <w:r>
        <w:rPr>
          <w:rFonts w:hint="eastAsia"/>
        </w:rPr>
        <w:t>③</w:t>
      </w:r>
      <w:r>
        <w:t xml:space="preserve"> </w:t>
      </w:r>
      <w:r>
        <w:rPr>
          <w:rFonts w:hint="eastAsia"/>
        </w:rPr>
        <w:t>硅灰石矿体常有中间富两头贫的变化趋势；</w:t>
      </w:r>
    </w:p>
    <w:p>
      <w:pPr>
        <w:pStyle w:val="98"/>
        <w:ind w:firstLine="560"/>
      </w:pPr>
      <w:r>
        <w:rPr>
          <w:rFonts w:hint="eastAsia"/>
        </w:rPr>
        <w:t>④</w:t>
      </w:r>
      <w:r>
        <w:t xml:space="preserve"> </w:t>
      </w:r>
      <w:r>
        <w:rPr>
          <w:rFonts w:hint="eastAsia"/>
        </w:rPr>
        <w:t>细晶致密块状矿石含矿率稳定，而粗晶板柱状矿石含矿率较高、厚度大，但稳定性较差；</w:t>
      </w:r>
    </w:p>
    <w:p>
      <w:pPr>
        <w:pStyle w:val="98"/>
        <w:ind w:firstLine="560"/>
      </w:pPr>
      <w:r>
        <w:rPr>
          <w:rFonts w:hint="eastAsia"/>
        </w:rPr>
        <w:t>⑤</w:t>
      </w:r>
      <w:r>
        <w:t xml:space="preserve"> </w:t>
      </w:r>
      <w:r>
        <w:rPr>
          <w:rFonts w:hint="eastAsia"/>
        </w:rPr>
        <w:t>有溶</w:t>
      </w:r>
      <w:r>
        <w:t>(</w:t>
      </w:r>
      <w:r>
        <w:rPr>
          <w:rFonts w:hint="eastAsia"/>
        </w:rPr>
        <w:t>洞</w:t>
      </w:r>
      <w:r>
        <w:t>)</w:t>
      </w:r>
      <w:r>
        <w:rPr>
          <w:rFonts w:hint="eastAsia"/>
        </w:rPr>
        <w:t>隙和晚期脉岩切割部位，硅灰石往往品位变富。</w:t>
      </w:r>
    </w:p>
    <w:bookmarkEnd w:id="117"/>
    <w:bookmarkEnd w:id="118"/>
    <w:bookmarkEnd w:id="119"/>
    <w:p>
      <w:pPr>
        <w:pStyle w:val="6"/>
        <w:ind w:firstLine="562" w:firstLineChars="200"/>
        <w:rPr>
          <w:rFonts w:hint="default"/>
        </w:rPr>
      </w:pPr>
      <w:r>
        <w:t>2.矿体特征</w:t>
      </w:r>
    </w:p>
    <w:p>
      <w:pPr>
        <w:pStyle w:val="98"/>
        <w:ind w:firstLine="560"/>
      </w:pPr>
      <w:bookmarkStart w:id="122" w:name="_Hlk161998008"/>
      <w:r>
        <w:rPr>
          <w:rFonts w:hint="eastAsia"/>
        </w:rPr>
        <w:t>矿体均赋存于富拉堡子岩组硅灰石化大理岩中，其产出部位受高力沟单元闪长岩体控制明显。</w:t>
      </w:r>
    </w:p>
    <w:p>
      <w:pPr>
        <w:pStyle w:val="98"/>
        <w:ind w:firstLine="560"/>
      </w:pPr>
      <w:r>
        <w:rPr>
          <w:rFonts w:hint="eastAsia"/>
        </w:rPr>
        <w:t>Ⅰ号矿体(WoⅠ)赋存于大理岩中，呈北东-南西向带状展布，呈层状、似层状产出，倾向南东，倾角60～65°。地表控制延长约650m，最宽7.50m，最窄4.60m，平均宽6.50m，控制延伸105～110m，厚度变化系数14.54%，含矿系数变化系数为14.68%。矿体平均品位CaO：46.11%、SiO</w:t>
      </w:r>
      <w:r>
        <w:rPr>
          <w:rFonts w:hint="eastAsia"/>
          <w:vertAlign w:val="subscript"/>
        </w:rPr>
        <w:t>2</w:t>
      </w:r>
      <w:r>
        <w:rPr>
          <w:rFonts w:hint="eastAsia"/>
        </w:rPr>
        <w:t>：49.43%、Fe</w:t>
      </w:r>
      <w:r>
        <w:rPr>
          <w:rFonts w:hint="eastAsia"/>
          <w:vertAlign w:val="subscript"/>
        </w:rPr>
        <w:t>2</w:t>
      </w:r>
      <w:r>
        <w:rPr>
          <w:rFonts w:hint="eastAsia"/>
        </w:rPr>
        <w:t>O</w:t>
      </w:r>
      <w:r>
        <w:rPr>
          <w:rFonts w:hint="eastAsia"/>
          <w:vertAlign w:val="subscript"/>
        </w:rPr>
        <w:t>3</w:t>
      </w:r>
      <w:r>
        <w:rPr>
          <w:rFonts w:hint="eastAsia"/>
        </w:rPr>
        <w:t>：0.62%、CO</w:t>
      </w:r>
      <w:r>
        <w:rPr>
          <w:rFonts w:hint="eastAsia"/>
          <w:vertAlign w:val="subscript"/>
        </w:rPr>
        <w:t>2</w:t>
      </w:r>
      <w:r>
        <w:rPr>
          <w:rFonts w:hint="eastAsia"/>
        </w:rPr>
        <w:t>：3.91%。</w:t>
      </w:r>
    </w:p>
    <w:p>
      <w:pPr>
        <w:pStyle w:val="98"/>
        <w:ind w:firstLine="560"/>
      </w:pPr>
      <w:r>
        <w:rPr>
          <w:rFonts w:hint="eastAsia"/>
        </w:rPr>
        <w:t>根据矿山实际开采情况，该区矿体在厚度上的变化特征为：上部较厚，下部有变薄趋势，矿体倾角约60～65°。走向发育特征为：矿体发育于矿区的东北部及西南部，矿区的中部发育较差，局部地段尖灭变薄，造成贫矿化及无矿段。矿体有4个分层：一层厚0.7m左右，该层发育不好，仅局部可见；二层厚1.5m左右，含量好，全区发育；三层厚2.3m左右，该层全区发育，两端好，局部地段硅灰石呈薄层状与大理岩互层；4层厚1.0～1.5m左右，全区发育，含量好。矿体产状与大理岩产状基本一致</w:t>
      </w:r>
      <w:bookmarkEnd w:id="122"/>
      <w:r>
        <w:rPr>
          <w:rFonts w:hint="eastAsia"/>
        </w:rPr>
        <w:t>。</w:t>
      </w:r>
    </w:p>
    <w:p>
      <w:pPr>
        <w:pStyle w:val="98"/>
        <w:ind w:firstLine="560"/>
      </w:pPr>
      <w:r>
        <w:rPr>
          <w:rFonts w:hint="eastAsia"/>
        </w:rPr>
        <w:t>矿石特征</w:t>
      </w:r>
    </w:p>
    <w:p>
      <w:pPr>
        <w:pStyle w:val="98"/>
        <w:numPr>
          <w:ilvl w:val="0"/>
          <w:numId w:val="3"/>
        </w:numPr>
        <w:ind w:firstLine="560"/>
        <w:rPr>
          <w:lang w:bidi="en-US"/>
        </w:rPr>
      </w:pPr>
      <w:r>
        <w:rPr>
          <w:rFonts w:hint="eastAsia"/>
          <w:lang w:bidi="en-US"/>
        </w:rPr>
        <w:t>矿石类型和品级</w:t>
      </w:r>
    </w:p>
    <w:p>
      <w:pPr>
        <w:pStyle w:val="98"/>
        <w:ind w:firstLine="560"/>
      </w:pPr>
      <w:r>
        <w:rPr>
          <w:rFonts w:hint="eastAsia"/>
        </w:rPr>
        <w:t>矿石按照自然类型划分为两种，硅灰石-方解石型和硅灰石-方解石-石英型。矿石成分简单，主要矿物成分为硅灰石，脉石矿物为方解石和石英，其次有少量透辉石、钙铝榴石等。</w:t>
      </w:r>
    </w:p>
    <w:p>
      <w:pPr>
        <w:pStyle w:val="98"/>
        <w:ind w:firstLine="560"/>
      </w:pPr>
      <w:r>
        <w:rPr>
          <w:rFonts w:hint="eastAsia"/>
        </w:rPr>
        <w:t>矿石工业类型为大理岩型硅灰石矿床，成因类型为层控接触热变质型。</w:t>
      </w:r>
    </w:p>
    <w:p>
      <w:pPr>
        <w:pStyle w:val="98"/>
        <w:ind w:firstLine="560"/>
      </w:pPr>
      <w:r>
        <w:rPr>
          <w:rFonts w:hint="eastAsia"/>
        </w:rPr>
        <w:t>根据中华人民共和国地质矿产行业标准DZ/T 0323-2018《硅灰石、透辉石、透闪石、长石矿产地质勘查规范》附录B提供的用化学分析成果计算硅灰石矿石中矿物含量的方法，比照与本矿体属同一类型的”吉林省磐石市长崴子硅灰石矿床”实例中的计算方法计算硅灰石矿物含量。计算公式如下：</w:t>
      </w:r>
    </w:p>
    <w:p>
      <w:pPr>
        <w:pStyle w:val="98"/>
        <w:ind w:firstLine="560"/>
      </w:pPr>
      <w:r>
        <w:t>w(Wo)=2.07×[w(CaO)-1.27×w(CO</w:t>
      </w:r>
      <w:r>
        <w:rPr>
          <w:vertAlign w:val="subscript"/>
        </w:rPr>
        <w:t>2</w:t>
      </w:r>
      <w:r>
        <w:t>)-1.40×w(MgO)-1.65×w(Al</w:t>
      </w:r>
      <w:r>
        <w:rPr>
          <w:vertAlign w:val="subscript"/>
        </w:rPr>
        <w:t>2</w:t>
      </w:r>
      <w:r>
        <w:t>O</w:t>
      </w:r>
      <w:r>
        <w:rPr>
          <w:vertAlign w:val="subscript"/>
        </w:rPr>
        <w:t>3</w:t>
      </w:r>
      <w:r>
        <w:t>)]</w:t>
      </w:r>
    </w:p>
    <w:p>
      <w:pPr>
        <w:pStyle w:val="98"/>
        <w:ind w:firstLine="560"/>
      </w:pPr>
      <w:r>
        <w:rPr>
          <w:rFonts w:hint="eastAsia"/>
        </w:rPr>
        <w:t>[硅灰石]    [总量]    [方解石]  [透辉石]   [钙铝榴石]</w:t>
      </w:r>
      <w:r>
        <w:t xml:space="preserve"> </w:t>
      </w:r>
    </w:p>
    <w:p>
      <w:pPr>
        <w:pStyle w:val="98"/>
        <w:ind w:firstLine="560"/>
      </w:pPr>
      <w:r>
        <w:rPr>
          <w:rFonts w:hint="eastAsia"/>
        </w:rPr>
        <w:t>经计算，硅灰石含量为85%≥80%，计算方法和计算公式选择合理，计算结果准确可靠。</w:t>
      </w:r>
    </w:p>
    <w:p>
      <w:pPr>
        <w:pStyle w:val="98"/>
        <w:ind w:firstLine="560"/>
      </w:pPr>
      <w:r>
        <w:rPr>
          <w:rFonts w:hint="eastAsia"/>
        </w:rPr>
        <w:t>从基本分析样品中主要化学成分及含量的结果看：SiO</w:t>
      </w:r>
      <w:r>
        <w:rPr>
          <w:rFonts w:hint="eastAsia"/>
          <w:vertAlign w:val="subscript"/>
        </w:rPr>
        <w:t>2</w:t>
      </w:r>
      <w:r>
        <w:rPr>
          <w:rFonts w:hint="eastAsia"/>
        </w:rPr>
        <w:t xml:space="preserve"> 33.10～59.84%，平均49.43%；CaO 39.82～48.40%，平均46.11%；Fe</w:t>
      </w:r>
      <w:r>
        <w:rPr>
          <w:rFonts w:hint="eastAsia"/>
          <w:vertAlign w:val="subscript"/>
        </w:rPr>
        <w:t>2</w:t>
      </w:r>
      <w:r>
        <w:rPr>
          <w:rFonts w:hint="eastAsia"/>
        </w:rPr>
        <w:t>O</w:t>
      </w:r>
      <w:r>
        <w:rPr>
          <w:rFonts w:hint="eastAsia"/>
          <w:vertAlign w:val="subscript"/>
        </w:rPr>
        <w:t>3</w:t>
      </w:r>
      <w:r>
        <w:rPr>
          <w:rFonts w:hint="eastAsia"/>
        </w:rPr>
        <w:t xml:space="preserve"> 0.38～1.59%，平均0.62%，区内矿石品级为Ⅱ级品。</w:t>
      </w:r>
    </w:p>
    <w:p>
      <w:pPr>
        <w:pStyle w:val="98"/>
        <w:numPr>
          <w:ilvl w:val="0"/>
          <w:numId w:val="3"/>
        </w:numPr>
        <w:ind w:firstLine="560"/>
        <w:rPr>
          <w:lang w:bidi="en-US"/>
        </w:rPr>
      </w:pPr>
      <w:bookmarkStart w:id="123" w:name="_Toc75941976"/>
      <w:bookmarkStart w:id="124" w:name="_Toc350931986"/>
      <w:bookmarkStart w:id="125" w:name="_Hlk161998052"/>
      <w:bookmarkStart w:id="126" w:name="_Toc350932697"/>
      <w:r>
        <w:rPr>
          <w:rFonts w:hint="eastAsia"/>
          <w:lang w:bidi="en-US"/>
        </w:rPr>
        <w:t>矿石</w:t>
      </w:r>
      <w:bookmarkEnd w:id="123"/>
      <w:r>
        <w:rPr>
          <w:rFonts w:hint="eastAsia"/>
          <w:lang w:bidi="en-US"/>
        </w:rPr>
        <w:t>组成与结构构造</w:t>
      </w:r>
    </w:p>
    <w:p>
      <w:pPr>
        <w:pStyle w:val="98"/>
        <w:ind w:firstLine="560"/>
      </w:pPr>
      <w:r>
        <w:rPr>
          <w:rFonts w:hint="eastAsia"/>
        </w:rPr>
        <w:t>矿区内矿石的矿物成分简单，主要由硅灰石、方解石、石英组成，含少量透辉石、钙铝榴石及微量金属矿物。其中矿石矿物为硅灰石，余者均为脉石矿物。</w:t>
      </w:r>
    </w:p>
    <w:p>
      <w:pPr>
        <w:pStyle w:val="98"/>
        <w:ind w:firstLine="560"/>
      </w:pPr>
      <w:r>
        <w:rPr>
          <w:rFonts w:hint="eastAsia"/>
        </w:rPr>
        <w:t>硅灰石：呈鳞片状、纤维状、板柱状，少量呈细粒块体及星散状分布矿石中。硅灰石呈中突起，无色，解理发育，一级干涉色，二轴晶负光性，光轴夹角较小，2V=35°（±），柱状解理发育，长轴近平行分布，偶见简单双晶及聚片双晶，单体0.1～0.8mm，较大者2～5mm，以0.3～0.5mm为多，个别较大颗粒包裹早期形成的硅灰石，形成变斑状结构，含量90～95%。</w:t>
      </w:r>
    </w:p>
    <w:p>
      <w:pPr>
        <w:pStyle w:val="98"/>
        <w:ind w:firstLine="560"/>
      </w:pPr>
      <w:r>
        <w:rPr>
          <w:rFonts w:hint="eastAsia"/>
        </w:rPr>
        <w:t>方解石：他形分布于硅灰石边缘，呈交代残留体状，个别晶体粗大，含量变化较大。</w:t>
      </w:r>
    </w:p>
    <w:p>
      <w:pPr>
        <w:pStyle w:val="98"/>
        <w:ind w:firstLine="560"/>
      </w:pPr>
      <w:r>
        <w:rPr>
          <w:rFonts w:hint="eastAsia"/>
        </w:rPr>
        <w:t>石英：一般呈他形粒状，粒径0.01～0.1mm，呈集合体与硅灰石镶嵌或分布于硅灰石解理缝和裂隙中。</w:t>
      </w:r>
    </w:p>
    <w:p>
      <w:pPr>
        <w:pStyle w:val="98"/>
        <w:ind w:firstLine="560"/>
      </w:pPr>
      <w:r>
        <w:rPr>
          <w:rFonts w:hint="eastAsia"/>
        </w:rPr>
        <w:t>矿石呈粒状花岗变晶、纤维变晶结构，块状、条带状及少量巨斑状构造。</w:t>
      </w:r>
    </w:p>
    <w:p>
      <w:pPr>
        <w:pStyle w:val="98"/>
        <w:numPr>
          <w:ilvl w:val="0"/>
          <w:numId w:val="3"/>
        </w:numPr>
        <w:ind w:firstLine="560"/>
        <w:rPr>
          <w:lang w:bidi="en-US"/>
        </w:rPr>
      </w:pPr>
      <w:r>
        <w:rPr>
          <w:rFonts w:hint="eastAsia"/>
          <w:lang w:bidi="en-US"/>
        </w:rPr>
        <w:t>矿石化学成分</w:t>
      </w:r>
    </w:p>
    <w:p>
      <w:pPr>
        <w:pStyle w:val="98"/>
        <w:ind w:firstLine="560"/>
      </w:pPr>
      <w:r>
        <w:rPr>
          <w:rFonts w:hint="eastAsia"/>
        </w:rPr>
        <w:t>矿石主要由硅灰石、方解石、石英及微量的透辉石、钙铝榴石组成。矿石具纤维变晶结构，块状或条带状构造，硅灰石晶体一般长1～5mm，个别可达30mm±。呈板柱状、束状或纤维状。根据其矿物组分及结构构造，矿石类型为中粗晶硅灰石-方解石-石英型。该矿床有益组分含量高，有害组分含量低，为优质硅灰石矿床。</w:t>
      </w:r>
    </w:p>
    <w:p>
      <w:pPr>
        <w:pStyle w:val="98"/>
        <w:ind w:firstLine="560"/>
      </w:pPr>
      <w:r>
        <w:rPr>
          <w:rFonts w:hint="eastAsia"/>
        </w:rPr>
        <w:t>组合分析结果：</w:t>
      </w:r>
    </w:p>
    <w:p>
      <w:pPr>
        <w:pStyle w:val="98"/>
        <w:ind w:firstLine="560"/>
      </w:pPr>
      <w:r>
        <w:rPr>
          <w:rFonts w:hint="eastAsia"/>
        </w:rPr>
        <w:t>CaO：45.72%、MgO：0.44%、SiO</w:t>
      </w:r>
      <w:r>
        <w:rPr>
          <w:rFonts w:hint="eastAsia"/>
          <w:vertAlign w:val="subscript"/>
        </w:rPr>
        <w:t>2</w:t>
      </w:r>
      <w:r>
        <w:rPr>
          <w:rFonts w:hint="eastAsia"/>
        </w:rPr>
        <w:t>：48.32%、Fe</w:t>
      </w:r>
      <w:r>
        <w:rPr>
          <w:rFonts w:hint="eastAsia"/>
          <w:vertAlign w:val="subscript"/>
        </w:rPr>
        <w:t>2</w:t>
      </w:r>
      <w:r>
        <w:rPr>
          <w:rFonts w:hint="eastAsia"/>
        </w:rPr>
        <w:t>O</w:t>
      </w:r>
      <w:r>
        <w:rPr>
          <w:rFonts w:hint="eastAsia"/>
          <w:vertAlign w:val="subscript"/>
        </w:rPr>
        <w:t>3</w:t>
      </w:r>
      <w:r>
        <w:rPr>
          <w:rFonts w:hint="eastAsia"/>
        </w:rPr>
        <w:t>：0.31%、Al</w:t>
      </w:r>
      <w:r>
        <w:rPr>
          <w:rFonts w:hint="eastAsia"/>
          <w:vertAlign w:val="subscript"/>
        </w:rPr>
        <w:t>2</w:t>
      </w:r>
      <w:r>
        <w:rPr>
          <w:rFonts w:hint="eastAsia"/>
        </w:rPr>
        <w:t>O</w:t>
      </w:r>
      <w:r>
        <w:rPr>
          <w:rFonts w:hint="eastAsia"/>
          <w:vertAlign w:val="subscript"/>
        </w:rPr>
        <w:t>3</w:t>
      </w:r>
      <w:r>
        <w:rPr>
          <w:rFonts w:hint="eastAsia"/>
        </w:rPr>
        <w:t>：0.33%、TiO</w:t>
      </w:r>
      <w:r>
        <w:rPr>
          <w:rFonts w:hint="eastAsia"/>
          <w:vertAlign w:val="subscript"/>
        </w:rPr>
        <w:t>2</w:t>
      </w:r>
      <w:r>
        <w:rPr>
          <w:rFonts w:hint="eastAsia"/>
        </w:rPr>
        <w:t>：0.00%、CO</w:t>
      </w:r>
      <w:r>
        <w:rPr>
          <w:rFonts w:hint="eastAsia"/>
          <w:vertAlign w:val="subscript"/>
        </w:rPr>
        <w:t>2</w:t>
      </w:r>
      <w:r>
        <w:rPr>
          <w:rFonts w:hint="eastAsia"/>
        </w:rPr>
        <w:t>：2.71%、MnO：0.06%、P：0.01%、S：0.02%。</w:t>
      </w:r>
    </w:p>
    <w:p>
      <w:pPr>
        <w:pStyle w:val="98"/>
        <w:numPr>
          <w:ilvl w:val="0"/>
          <w:numId w:val="3"/>
        </w:numPr>
        <w:ind w:firstLine="560"/>
      </w:pPr>
      <w:bookmarkStart w:id="127" w:name="_Toc141882991"/>
      <w:bookmarkStart w:id="128" w:name="_Toc117499820"/>
      <w:bookmarkStart w:id="129" w:name="_Toc427847477"/>
      <w:r>
        <w:rPr>
          <w:rFonts w:hint="eastAsia"/>
        </w:rPr>
        <w:t>矿体围岩和夹石</w:t>
      </w:r>
      <w:bookmarkEnd w:id="127"/>
      <w:bookmarkEnd w:id="128"/>
      <w:bookmarkEnd w:id="129"/>
    </w:p>
    <w:p>
      <w:pPr>
        <w:pStyle w:val="98"/>
        <w:ind w:firstLine="560"/>
      </w:pPr>
      <w:r>
        <w:rPr>
          <w:rFonts w:hint="eastAsia"/>
        </w:rPr>
        <w:t>围岩为方解石大理石，与围岩呈渐变过渡关系。围岩蚀变以硅灰石化为主，次为碳酸盐化、硅化、绿帘石化，其中硅灰石化是成矿的重要蚀变作用，硅灰石化强烈时形成硅灰石矿体，反之形成硅灰石大理岩。</w:t>
      </w:r>
      <w:bookmarkEnd w:id="124"/>
      <w:bookmarkEnd w:id="125"/>
      <w:bookmarkEnd w:id="126"/>
    </w:p>
    <w:p>
      <w:pPr>
        <w:pStyle w:val="98"/>
        <w:numPr>
          <w:ilvl w:val="0"/>
          <w:numId w:val="3"/>
        </w:numPr>
        <w:ind w:firstLine="560"/>
      </w:pPr>
      <w:r>
        <w:rPr>
          <w:rFonts w:hint="eastAsia"/>
        </w:rPr>
        <w:t>共生伴生矿产</w:t>
      </w:r>
    </w:p>
    <w:p>
      <w:pPr>
        <w:pStyle w:val="98"/>
        <w:ind w:firstLine="560"/>
      </w:pPr>
      <w:r>
        <w:rPr>
          <w:rFonts w:hint="eastAsia"/>
        </w:rPr>
        <w:t>矿体赋存于大理岩中，大理岩呈白色，灰白色，变晶结构，块状结构，主要矿物成份为方解石，有少量石英，1997年普查工作中取大理岩样品两个，分析结果如下：CaO：55.26%、MgO：0.46%、SiO</w:t>
      </w:r>
      <w:r>
        <w:rPr>
          <w:rFonts w:hint="eastAsia"/>
          <w:vertAlign w:val="subscript"/>
        </w:rPr>
        <w:t>2</w:t>
      </w:r>
      <w:r>
        <w:rPr>
          <w:rFonts w:hint="eastAsia"/>
        </w:rPr>
        <w:t>：1.11%、Fe</w:t>
      </w:r>
      <w:r>
        <w:rPr>
          <w:rFonts w:hint="eastAsia"/>
          <w:vertAlign w:val="subscript"/>
        </w:rPr>
        <w:t>2</w:t>
      </w:r>
      <w:r>
        <w:rPr>
          <w:rFonts w:hint="eastAsia"/>
        </w:rPr>
        <w:t>O</w:t>
      </w:r>
      <w:r>
        <w:rPr>
          <w:rFonts w:hint="eastAsia"/>
          <w:vertAlign w:val="subscript"/>
        </w:rPr>
        <w:t>3</w:t>
      </w:r>
      <w:r>
        <w:rPr>
          <w:rFonts w:hint="eastAsia"/>
        </w:rPr>
        <w:t>：0.15%、Al</w:t>
      </w:r>
      <w:r>
        <w:rPr>
          <w:rFonts w:hint="eastAsia"/>
          <w:vertAlign w:val="subscript"/>
        </w:rPr>
        <w:t>2</w:t>
      </w:r>
      <w:r>
        <w:rPr>
          <w:rFonts w:hint="eastAsia"/>
        </w:rPr>
        <w:t>O</w:t>
      </w:r>
      <w:r>
        <w:rPr>
          <w:rFonts w:hint="eastAsia"/>
          <w:vertAlign w:val="subscript"/>
        </w:rPr>
        <w:t>3</w:t>
      </w:r>
      <w:r>
        <w:rPr>
          <w:rFonts w:hint="eastAsia"/>
        </w:rPr>
        <w:t>：0.32%、K</w:t>
      </w:r>
      <w:r>
        <w:rPr>
          <w:rFonts w:hint="eastAsia"/>
          <w:vertAlign w:val="subscript"/>
        </w:rPr>
        <w:t>2</w:t>
      </w:r>
      <w:r>
        <w:rPr>
          <w:rFonts w:hint="eastAsia"/>
        </w:rPr>
        <w:t>O：0.00%、Na</w:t>
      </w:r>
      <w:r>
        <w:rPr>
          <w:rFonts w:hint="eastAsia"/>
          <w:vertAlign w:val="subscript"/>
        </w:rPr>
        <w:t>2</w:t>
      </w:r>
      <w:r>
        <w:rPr>
          <w:rFonts w:hint="eastAsia"/>
        </w:rPr>
        <w:t>O：0.04%、S</w:t>
      </w:r>
      <w:r>
        <w:rPr>
          <w:rFonts w:hint="eastAsia"/>
          <w:vertAlign w:val="subscript"/>
        </w:rPr>
        <w:t>2</w:t>
      </w:r>
      <w:r>
        <w:rPr>
          <w:rFonts w:hint="eastAsia"/>
        </w:rPr>
        <w:t>O</w:t>
      </w:r>
      <w:r>
        <w:rPr>
          <w:rFonts w:hint="eastAsia"/>
          <w:vertAlign w:val="subscript"/>
        </w:rPr>
        <w:t>3</w:t>
      </w:r>
      <w:r>
        <w:rPr>
          <w:rFonts w:hint="eastAsia"/>
        </w:rPr>
        <w:t>：0.03%，该大理岩化学成份完全符合制硅酸盐水泥原料的要求，开采时可以考虑综合利用。</w:t>
      </w:r>
    </w:p>
    <w:p>
      <w:pPr>
        <w:pStyle w:val="98"/>
        <w:ind w:firstLine="560"/>
        <w:sectPr>
          <w:headerReference r:id="rId8" w:type="default"/>
          <w:pgSz w:w="11906" w:h="16838"/>
          <w:pgMar w:top="1440" w:right="1800" w:bottom="1440" w:left="1550" w:header="851" w:footer="1135" w:gutter="0"/>
          <w:cols w:space="425" w:num="1"/>
          <w:docGrid w:type="lines" w:linePitch="312" w:charSpace="0"/>
        </w:sectPr>
      </w:pPr>
    </w:p>
    <w:p>
      <w:pPr>
        <w:pStyle w:val="467"/>
        <w:ind w:left="0" w:firstLine="602" w:firstLineChars="200"/>
      </w:pPr>
      <w:bookmarkStart w:id="130" w:name="_Toc188453619"/>
      <w:bookmarkStart w:id="131" w:name="_Toc167307740"/>
      <w:bookmarkStart w:id="132" w:name="_Toc187151549"/>
      <w:r>
        <w:rPr>
          <w:rFonts w:hint="eastAsia"/>
        </w:rPr>
        <w:t>（二）矿床开采地质条件</w:t>
      </w:r>
      <w:bookmarkEnd w:id="130"/>
      <w:bookmarkEnd w:id="131"/>
      <w:bookmarkEnd w:id="132"/>
    </w:p>
    <w:p>
      <w:pPr>
        <w:pStyle w:val="6"/>
        <w:ind w:firstLine="562" w:firstLineChars="200"/>
        <w:rPr>
          <w:rFonts w:hint="default"/>
        </w:rPr>
      </w:pPr>
      <w:r>
        <w:t>1.水文地质</w:t>
      </w:r>
    </w:p>
    <w:p>
      <w:pPr>
        <w:pStyle w:val="98"/>
        <w:ind w:firstLine="560"/>
      </w:pPr>
      <w:bookmarkStart w:id="133" w:name="OLE_LINK146"/>
      <w:bookmarkStart w:id="134" w:name="OLE_LINK145"/>
      <w:bookmarkStart w:id="135" w:name="_Hlk171668105"/>
      <w:bookmarkStart w:id="136" w:name="_Hlk171673448"/>
      <w:r>
        <w:rPr>
          <w:rFonts w:hint="eastAsia"/>
        </w:rPr>
        <w:t>(1) 概述</w:t>
      </w:r>
    </w:p>
    <w:p>
      <w:pPr>
        <w:pStyle w:val="98"/>
        <w:ind w:firstLine="560"/>
      </w:pPr>
      <w:r>
        <w:rPr>
          <w:rFonts w:hint="eastAsia"/>
        </w:rPr>
        <w:t>为了矿山矿产资源开发利用，进一步提升调兵山市硅灰石井巷矿勘查程度，企业开展补充勘探工作，查明水工环地质条件及矿床充水因素，为矿山下一步开发利用工作提供依据。</w:t>
      </w:r>
    </w:p>
    <w:p>
      <w:pPr>
        <w:pStyle w:val="98"/>
        <w:ind w:firstLine="560"/>
      </w:pPr>
      <w:r>
        <w:rPr>
          <w:rFonts w:hint="eastAsia"/>
        </w:rPr>
        <w:t>(2) 岩（矿）层富水性</w:t>
      </w:r>
    </w:p>
    <w:p>
      <w:pPr>
        <w:pStyle w:val="98"/>
        <w:ind w:firstLine="560"/>
      </w:pPr>
      <w:r>
        <w:rPr>
          <w:rFonts w:hint="eastAsia"/>
        </w:rPr>
        <w:t>含水层共两个，分别为块状岩类基岩裂隙水和岩溶裂隙水</w:t>
      </w:r>
    </w:p>
    <w:p>
      <w:pPr>
        <w:pStyle w:val="98"/>
        <w:ind w:firstLine="560"/>
      </w:pPr>
      <w:r>
        <w:rPr>
          <w:rFonts w:hint="eastAsia"/>
        </w:rPr>
        <w:t>1) 块状岩类基岩裂隙水</w:t>
      </w:r>
    </w:p>
    <w:p>
      <w:pPr>
        <w:pStyle w:val="98"/>
        <w:ind w:firstLine="560"/>
      </w:pPr>
      <w:r>
        <w:rPr>
          <w:rFonts w:hint="eastAsia"/>
        </w:rPr>
        <w:t>呈条带状分布于矿段中部，含水介质为角闪石岩，水化学类型为HCO</w:t>
      </w:r>
      <w:r>
        <w:rPr>
          <w:rFonts w:hint="eastAsia"/>
          <w:vertAlign w:val="subscript"/>
        </w:rPr>
        <w:t>3</w:t>
      </w:r>
      <w:r>
        <w:rPr>
          <w:rFonts w:hint="eastAsia"/>
        </w:rPr>
        <w:t>-Ca型，泉流量0.16～0.27l/s，富水性弱，地下水主要接受大气降水垂直入渗和高地势一侧的层状碳酸盐岩裂隙水侧向补给。</w:t>
      </w:r>
    </w:p>
    <w:p>
      <w:pPr>
        <w:pStyle w:val="98"/>
        <w:ind w:firstLine="560"/>
      </w:pPr>
      <w:r>
        <w:rPr>
          <w:rFonts w:hint="eastAsia"/>
        </w:rPr>
        <w:t>2) 碳酸盐岩类岩溶裂隙水</w:t>
      </w:r>
    </w:p>
    <w:p>
      <w:pPr>
        <w:pStyle w:val="98"/>
        <w:ind w:firstLine="560"/>
      </w:pPr>
      <w:r>
        <w:rPr>
          <w:rFonts w:hint="eastAsia"/>
        </w:rPr>
        <w:t>分布于块状岩类基岩裂隙水含水层两侧，含水层岩性为含硅灰石方解石大理岩、硅化大理岩，泉流量0.29-0.84L/s，属于富水性弱级别。地下水主要接受大气降水补给，顺地势从山脊向沟谷排泄。多以下降泉的形式在沟谷的坡脚处出露，经测算，矿体接受大气降水垂直入渗面积26000m</w:t>
      </w:r>
      <w:r>
        <w:rPr>
          <w:rFonts w:hint="eastAsia"/>
          <w:vertAlign w:val="superscript"/>
        </w:rPr>
        <w:t>2</w:t>
      </w:r>
      <w:r>
        <w:rPr>
          <w:rFonts w:hint="eastAsia"/>
        </w:rPr>
        <w:t>。</w:t>
      </w:r>
    </w:p>
    <w:p>
      <w:pPr>
        <w:pStyle w:val="98"/>
        <w:ind w:firstLine="560"/>
      </w:pPr>
      <w:r>
        <w:rPr>
          <w:rFonts w:hint="eastAsia"/>
        </w:rPr>
        <w:t>(3) 地下水动态特征及其补给、径流、排泄</w:t>
      </w:r>
    </w:p>
    <w:p>
      <w:pPr>
        <w:pStyle w:val="98"/>
        <w:ind w:firstLine="560"/>
      </w:pPr>
      <w:r>
        <w:rPr>
          <w:rFonts w:hint="eastAsia"/>
        </w:rPr>
        <w:t>矿区地表水丰水期一般出现在6～9月，枯水期为11月到翌年3月，地下水高水位期出现在7～10月，低水位期一般为11月到次年5月，略滞后于河流丰水期，年变幅较大，长期观测孔统计年变幅一般在0.5～1.2m之间。泉流量受融水和降水控制，天然状态下，泉水流量动态变化较为稳定，观测资料表明，丰水期一般出现在7～9月，枯水期10月到次年6月。</w:t>
      </w:r>
    </w:p>
    <w:p>
      <w:pPr>
        <w:pStyle w:val="98"/>
        <w:ind w:firstLine="560"/>
      </w:pPr>
      <w:r>
        <w:rPr>
          <w:rFonts w:hint="eastAsia"/>
        </w:rPr>
        <w:t>(4) 矿床充水因素分析</w:t>
      </w:r>
    </w:p>
    <w:p>
      <w:pPr>
        <w:pStyle w:val="98"/>
        <w:ind w:firstLine="560"/>
      </w:pPr>
      <w:r>
        <w:rPr>
          <w:rFonts w:hint="eastAsia"/>
        </w:rPr>
        <w:t>通过对各矿体水文地质条件的分析，矿床充水因素分为直接充水因素和间接充水因素。充水因素包括大气降水、块状岩类基岩裂隙水和层状岩类基岩裂隙水。结合矿床开采方案对充水因素进行简述。</w:t>
      </w:r>
    </w:p>
    <w:p>
      <w:pPr>
        <w:pStyle w:val="98"/>
        <w:ind w:firstLine="560"/>
      </w:pPr>
      <w:r>
        <w:rPr>
          <w:rFonts w:hint="eastAsia"/>
        </w:rPr>
        <w:t>根据地质勘查成果，地下开采条件下，矿体和围岩所赋存的地下水类型为直接充水因素，大气降水为间接充水因素。</w:t>
      </w:r>
    </w:p>
    <w:p>
      <w:pPr>
        <w:pStyle w:val="98"/>
        <w:ind w:firstLine="560"/>
      </w:pPr>
      <w:r>
        <w:rPr>
          <w:rFonts w:hint="eastAsia"/>
        </w:rPr>
        <w:t>目前矿山已经开拓至+45m水平中段，水文地质条件未见明显变化。</w:t>
      </w:r>
    </w:p>
    <w:p>
      <w:pPr>
        <w:pStyle w:val="98"/>
        <w:ind w:firstLine="560"/>
      </w:pPr>
      <w:bookmarkStart w:id="137" w:name="OLE_LINK112"/>
      <w:bookmarkStart w:id="138" w:name="OLE_LINK111"/>
      <w:r>
        <w:rPr>
          <w:rFonts w:hint="eastAsia"/>
        </w:rPr>
        <w:t>(5) 水文地质勘查类型</w:t>
      </w:r>
    </w:p>
    <w:bookmarkEnd w:id="133"/>
    <w:bookmarkEnd w:id="134"/>
    <w:bookmarkEnd w:id="137"/>
    <w:bookmarkEnd w:id="138"/>
    <w:p>
      <w:pPr>
        <w:pStyle w:val="98"/>
        <w:ind w:firstLine="560"/>
      </w:pPr>
      <w:r>
        <w:rPr>
          <w:rFonts w:hint="eastAsia"/>
        </w:rPr>
        <w:t>区内无常年性河流，地表未发现大的含导水构造，主要矿体位于当地侵蚀基准面以下，但附近无地表水，含水层含水性差，富水程度弱，补给条件差。地质条件较简单，现阶段矿体内无积水。</w:t>
      </w:r>
    </w:p>
    <w:p>
      <w:pPr>
        <w:pStyle w:val="98"/>
        <w:ind w:firstLine="560"/>
      </w:pPr>
      <w:bookmarkStart w:id="382" w:name="_GoBack"/>
      <w:bookmarkEnd w:id="382"/>
      <w:r>
        <w:rPr>
          <w:rFonts w:hint="eastAsia"/>
          <w:lang w:eastAsia="zh-CN"/>
        </w:rPr>
        <w:t>综上所述</w:t>
      </w:r>
      <w:r>
        <w:rPr>
          <w:rFonts w:hint="eastAsia"/>
        </w:rPr>
        <w:t>，根据主要充水含水层的容水空间特征，水文地质勘查类型为第三大类第一型，即以溶蚀裂隙为主的岩溶充水矿床水文地质条件简单型。</w:t>
      </w:r>
    </w:p>
    <w:p>
      <w:pPr>
        <w:pStyle w:val="98"/>
        <w:ind w:firstLine="560"/>
      </w:pPr>
      <w:r>
        <w:rPr>
          <w:rFonts w:hint="eastAsia"/>
        </w:rPr>
        <w:t>(6) 矿坑涌水量预测计算</w:t>
      </w:r>
    </w:p>
    <w:p>
      <w:pPr>
        <w:pStyle w:val="98"/>
        <w:ind w:firstLine="560"/>
        <w:rPr>
          <w:lang w:bidi="en-US"/>
        </w:rPr>
      </w:pPr>
      <w:r>
        <w:rPr>
          <w:rFonts w:hint="eastAsia"/>
          <w:lang w:bidi="en-US"/>
        </w:rPr>
        <w:t>设计依据的水文地质资料依据2024年企业提交的补充勘探报告。矿区水文地质测绘工作是依据矿区水文地质工程地质勘探规范要求进行的，钻孔的简易水文观测工作是按矿山岩心钻探规范的要求执行的，钻孔的工程地质编录满足了规范20%的要求，抽水试验工作是依据矿区水文地质条件的实际情况，满足规范的要求。</w:t>
      </w:r>
    </w:p>
    <w:p>
      <w:pPr>
        <w:pStyle w:val="98"/>
        <w:ind w:firstLine="560"/>
        <w:rPr>
          <w:lang w:bidi="en-US"/>
        </w:rPr>
      </w:pPr>
      <w:r>
        <w:rPr>
          <w:rFonts w:hint="eastAsia"/>
          <w:lang w:bidi="en-US"/>
        </w:rPr>
        <w:t>根据矿床水文地质资料、矿体规模特征及井巷开采方式，采用地下水动力学法中“比拟法”对矿坑涌水量进行计算。</w:t>
      </w:r>
    </w:p>
    <w:p>
      <w:pPr>
        <w:pStyle w:val="98"/>
        <w:ind w:firstLine="560"/>
      </w:pPr>
      <w:r>
        <w:rPr>
          <w:rFonts w:hint="eastAsia"/>
        </w:rPr>
        <w:t>1) 计算公式</w:t>
      </w:r>
    </w:p>
    <w:p>
      <w:pPr>
        <w:pStyle w:val="98"/>
        <w:ind w:firstLine="560"/>
      </w:pPr>
      <w:r>
        <w:rPr>
          <w:rFonts w:hint="eastAsia"/>
        </w:rPr>
        <w:t>Q＝Q</w:t>
      </w:r>
      <w:r>
        <w:rPr>
          <w:rFonts w:hint="eastAsia"/>
          <w:vertAlign w:val="subscript"/>
        </w:rPr>
        <w:t>0</w:t>
      </w:r>
      <w:r>
        <w:rPr>
          <w:rFonts w:hint="eastAsia"/>
        </w:rPr>
        <w:t>(F/F</w:t>
      </w:r>
      <w:r>
        <w:rPr>
          <w:rFonts w:hint="eastAsia"/>
          <w:vertAlign w:val="subscript"/>
        </w:rPr>
        <w:t>0</w:t>
      </w:r>
      <w:r>
        <w:rPr>
          <w:rFonts w:hint="eastAsia"/>
        </w:rPr>
        <w:t>)</w:t>
      </w:r>
      <w:r>
        <w:rPr>
          <w:rFonts w:hint="eastAsia"/>
          <w:vertAlign w:val="superscript"/>
        </w:rPr>
        <w:t>n</w:t>
      </w:r>
      <w:r>
        <w:rPr>
          <w:rFonts w:hint="eastAsia"/>
        </w:rPr>
        <w:t>(S/S</w:t>
      </w:r>
      <w:r>
        <w:rPr>
          <w:rFonts w:hint="eastAsia"/>
          <w:vertAlign w:val="subscript"/>
        </w:rPr>
        <w:t>0</w:t>
      </w:r>
      <w:r>
        <w:rPr>
          <w:rFonts w:hint="eastAsia"/>
        </w:rPr>
        <w:t>)</w:t>
      </w:r>
      <w:r>
        <w:rPr>
          <w:rFonts w:hint="eastAsia"/>
          <w:vertAlign w:val="superscript"/>
        </w:rPr>
        <w:t>1/m</w:t>
      </w:r>
      <w:r>
        <w:rPr>
          <w:rFonts w:hint="eastAsia"/>
        </w:rPr>
        <w:t>(n≤1、m≥2)</w:t>
      </w:r>
    </w:p>
    <w:p>
      <w:pPr>
        <w:pStyle w:val="98"/>
        <w:ind w:firstLine="560"/>
      </w:pPr>
      <w:r>
        <w:rPr>
          <w:rFonts w:hint="eastAsia"/>
        </w:rPr>
        <w:t>式中：</w:t>
      </w:r>
    </w:p>
    <w:p>
      <w:pPr>
        <w:pStyle w:val="98"/>
        <w:ind w:firstLine="1400" w:firstLineChars="500"/>
      </w:pPr>
      <w:r>
        <w:rPr>
          <w:rFonts w:hint="eastAsia"/>
        </w:rPr>
        <w:t>Q—预测矿坑的正常或最大涌水量(m</w:t>
      </w:r>
      <w:r>
        <w:rPr>
          <w:rFonts w:hint="eastAsia"/>
          <w:vertAlign w:val="superscript"/>
        </w:rPr>
        <w:t>3</w:t>
      </w:r>
      <w:r>
        <w:rPr>
          <w:rFonts w:hint="eastAsia"/>
        </w:rPr>
        <w:t>/d)</w:t>
      </w:r>
    </w:p>
    <w:p>
      <w:pPr>
        <w:pStyle w:val="98"/>
        <w:ind w:firstLine="1400" w:firstLineChars="500"/>
      </w:pPr>
      <w:r>
        <w:rPr>
          <w:rFonts w:hint="eastAsia"/>
        </w:rPr>
        <w:t>Q</w:t>
      </w:r>
      <w:r>
        <w:rPr>
          <w:rFonts w:hint="eastAsia"/>
          <w:vertAlign w:val="subscript"/>
        </w:rPr>
        <w:t>0</w:t>
      </w:r>
      <w:r>
        <w:rPr>
          <w:rFonts w:hint="eastAsia"/>
        </w:rPr>
        <w:t>—现有矿坑的正常或最大涌水量(m</w:t>
      </w:r>
      <w:r>
        <w:rPr>
          <w:rFonts w:hint="eastAsia"/>
          <w:vertAlign w:val="superscript"/>
        </w:rPr>
        <w:t>3</w:t>
      </w:r>
      <w:r>
        <w:rPr>
          <w:rFonts w:hint="eastAsia"/>
        </w:rPr>
        <w:t>/d)</w:t>
      </w:r>
    </w:p>
    <w:p>
      <w:pPr>
        <w:pStyle w:val="98"/>
        <w:ind w:firstLine="1400" w:firstLineChars="500"/>
      </w:pPr>
      <w:r>
        <w:rPr>
          <w:rFonts w:hint="eastAsia"/>
        </w:rPr>
        <w:t>F</w:t>
      </w:r>
      <w:r>
        <w:rPr>
          <w:rFonts w:hint="eastAsia"/>
          <w:vertAlign w:val="subscript"/>
        </w:rPr>
        <w:t>0</w:t>
      </w:r>
      <w:r>
        <w:rPr>
          <w:rFonts w:hint="eastAsia"/>
        </w:rPr>
        <w:t>—现有矿坑系统面积(m</w:t>
      </w:r>
      <w:r>
        <w:rPr>
          <w:rFonts w:hint="eastAsia"/>
          <w:vertAlign w:val="superscript"/>
        </w:rPr>
        <w:t>2</w:t>
      </w:r>
      <w:r>
        <w:rPr>
          <w:rFonts w:hint="eastAsia"/>
        </w:rPr>
        <w:t>)</w:t>
      </w:r>
    </w:p>
    <w:p>
      <w:pPr>
        <w:pStyle w:val="98"/>
        <w:ind w:firstLine="1400" w:firstLineChars="500"/>
      </w:pPr>
      <w:r>
        <w:rPr>
          <w:rFonts w:hint="eastAsia"/>
        </w:rPr>
        <w:t>S</w:t>
      </w:r>
      <w:r>
        <w:rPr>
          <w:rFonts w:hint="eastAsia"/>
          <w:vertAlign w:val="subscript"/>
        </w:rPr>
        <w:t>0</w:t>
      </w:r>
      <w:r>
        <w:rPr>
          <w:rFonts w:hint="eastAsia"/>
        </w:rPr>
        <w:t>—现有矿坑水位降深(m)</w:t>
      </w:r>
    </w:p>
    <w:p>
      <w:pPr>
        <w:pStyle w:val="98"/>
        <w:ind w:firstLine="1400" w:firstLineChars="500"/>
      </w:pPr>
      <w:r>
        <w:rPr>
          <w:rFonts w:hint="eastAsia"/>
        </w:rPr>
        <w:t>F—设计矿坑面积(m</w:t>
      </w:r>
      <w:r>
        <w:rPr>
          <w:rFonts w:hint="eastAsia"/>
          <w:vertAlign w:val="superscript"/>
        </w:rPr>
        <w:t>2</w:t>
      </w:r>
      <w:r>
        <w:rPr>
          <w:rFonts w:hint="eastAsia"/>
        </w:rPr>
        <w:t>)</w:t>
      </w:r>
    </w:p>
    <w:p>
      <w:pPr>
        <w:pStyle w:val="98"/>
        <w:ind w:firstLine="1400" w:firstLineChars="500"/>
      </w:pPr>
      <w:r>
        <w:rPr>
          <w:rFonts w:hint="eastAsia"/>
        </w:rPr>
        <w:t>S—设计矿坑水位降深(m)</w:t>
      </w:r>
    </w:p>
    <w:p>
      <w:pPr>
        <w:pStyle w:val="98"/>
        <w:ind w:firstLine="1400" w:firstLineChars="500"/>
      </w:pPr>
      <w:r>
        <w:rPr>
          <w:rFonts w:hint="eastAsia"/>
        </w:rPr>
        <w:t>m、n—地下水流态系数(据矿坑涌水量变化速度，m取值2.0，n取值0.5)</w:t>
      </w:r>
    </w:p>
    <w:p>
      <w:pPr>
        <w:pStyle w:val="98"/>
        <w:ind w:firstLine="560"/>
      </w:pPr>
      <w:r>
        <w:rPr>
          <w:rFonts w:hint="eastAsia"/>
        </w:rPr>
        <w:t>2) 参数确定及计算结果</w:t>
      </w:r>
    </w:p>
    <w:p>
      <w:pPr>
        <w:pStyle w:val="98"/>
        <w:ind w:firstLine="560"/>
      </w:pPr>
      <w:r>
        <w:rPr>
          <w:rFonts w:hint="eastAsia"/>
        </w:rPr>
        <w:t>本项目为改建项目，目前井下已形成160m中段、130m中段、105m中段、90m中段、75m中段和45m中段。其中105m中段以上已开采完毕，90m中段和75m中段部分开采完毕，45m中段仅有部分开拓巷道，未开采。本次设计通过现有75m中段抽水记录推算45m中段涌水量。</w:t>
      </w:r>
    </w:p>
    <w:p>
      <w:pPr>
        <w:pStyle w:val="98"/>
        <w:ind w:firstLine="560"/>
      </w:pPr>
      <w:r>
        <w:rPr>
          <w:rFonts w:hint="eastAsia"/>
        </w:rPr>
        <w:t>通过收集资料，矿山现有75m中段正常排水量为20m</w:t>
      </w:r>
      <w:r>
        <w:rPr>
          <w:rFonts w:hint="eastAsia"/>
          <w:vertAlign w:val="superscript"/>
        </w:rPr>
        <w:t>3</w:t>
      </w:r>
      <w:r>
        <w:rPr>
          <w:rFonts w:hint="eastAsia"/>
        </w:rPr>
        <w:t>/d，最大排水量为30m</w:t>
      </w:r>
      <w:r>
        <w:rPr>
          <w:rFonts w:hint="eastAsia"/>
          <w:vertAlign w:val="superscript"/>
        </w:rPr>
        <w:t>3</w:t>
      </w:r>
      <w:r>
        <w:rPr>
          <w:rFonts w:hint="eastAsia"/>
        </w:rPr>
        <w:t>/d。根据矿区SHK01钻孔抽水试验可知，含水层顶板标高为161.44m，75m中段</w:t>
      </w:r>
      <w:r>
        <w:t>疏干面积</w:t>
      </w:r>
      <w:r>
        <w:rPr>
          <w:rFonts w:hint="eastAsia"/>
        </w:rPr>
        <w:t>3564</w:t>
      </w:r>
      <w:r>
        <w:t>m</w:t>
      </w:r>
      <w:r>
        <w:rPr>
          <w:vertAlign w:val="superscript"/>
        </w:rPr>
        <w:t>2</w:t>
      </w:r>
      <w:r>
        <w:t>，水位降深</w:t>
      </w:r>
      <w:r>
        <w:rPr>
          <w:rFonts w:hint="eastAsia"/>
        </w:rPr>
        <w:t>86.44</w:t>
      </w:r>
      <w:r>
        <w:t>m；</w:t>
      </w:r>
      <w:r>
        <w:rPr>
          <w:rFonts w:hint="eastAsia"/>
        </w:rPr>
        <w:t>本次预测+45m中段疏干面积16791</w:t>
      </w:r>
      <w:r>
        <w:t>m</w:t>
      </w:r>
      <w:r>
        <w:rPr>
          <w:vertAlign w:val="superscript"/>
        </w:rPr>
        <w:t>2</w:t>
      </w:r>
      <w:r>
        <w:t>，矿山水位降深</w:t>
      </w:r>
      <w:r>
        <w:rPr>
          <w:rFonts w:hint="eastAsia"/>
        </w:rPr>
        <w:t>116.44</w:t>
      </w:r>
      <w:r>
        <w:t>m</w:t>
      </w:r>
      <w:r>
        <w:rPr>
          <w:rFonts w:hint="eastAsia"/>
        </w:rPr>
        <w:t>，则+45m中段正常排水量为50.39m</w:t>
      </w:r>
      <w:r>
        <w:rPr>
          <w:rFonts w:hint="eastAsia"/>
          <w:vertAlign w:val="superscript"/>
        </w:rPr>
        <w:t>3</w:t>
      </w:r>
      <w:r>
        <w:rPr>
          <w:rFonts w:hint="eastAsia"/>
        </w:rPr>
        <w:t>/d，最大排水量为75.58m</w:t>
      </w:r>
      <w:r>
        <w:rPr>
          <w:rFonts w:hint="eastAsia"/>
          <w:vertAlign w:val="superscript"/>
        </w:rPr>
        <w:t>3</w:t>
      </w:r>
      <w:r>
        <w:rPr>
          <w:rFonts w:hint="eastAsia"/>
        </w:rPr>
        <w:t>/d。</w:t>
      </w:r>
    </w:p>
    <w:p>
      <w:pPr>
        <w:pStyle w:val="98"/>
        <w:ind w:firstLine="560"/>
      </w:pPr>
      <w:r>
        <w:rPr>
          <w:rFonts w:hint="eastAsia"/>
        </w:rPr>
        <w:t>3) 井下涌水量</w:t>
      </w:r>
    </w:p>
    <w:p>
      <w:pPr>
        <w:pStyle w:val="98"/>
        <w:ind w:firstLine="560"/>
      </w:pPr>
      <w:r>
        <w:rPr>
          <w:rFonts w:hint="eastAsia"/>
        </w:rPr>
        <w:t>矿坑涌水量采用“比拟法”计算所得。计算矿坑涌水量正常涌水量为50.69m</w:t>
      </w:r>
      <w:r>
        <w:rPr>
          <w:rFonts w:hint="eastAsia"/>
          <w:vertAlign w:val="superscript"/>
        </w:rPr>
        <w:t>3</w:t>
      </w:r>
      <w:r>
        <w:rPr>
          <w:rFonts w:hint="eastAsia"/>
        </w:rPr>
        <w:t>/d，最大涌水量为75.58m</w:t>
      </w:r>
      <w:r>
        <w:rPr>
          <w:rFonts w:hint="eastAsia"/>
          <w:vertAlign w:val="superscript"/>
        </w:rPr>
        <w:t>3</w:t>
      </w:r>
      <w:r>
        <w:rPr>
          <w:rFonts w:hint="eastAsia"/>
        </w:rPr>
        <w:t>/d。</w:t>
      </w:r>
    </w:p>
    <w:p>
      <w:pPr>
        <w:pStyle w:val="98"/>
        <w:ind w:firstLine="560"/>
      </w:pPr>
      <w:r>
        <w:rPr>
          <w:rFonts w:hint="eastAsia"/>
        </w:rPr>
        <w:t>核实水文地质计算方法、参数选择合理，符合矿区水文地质条件。其计算结果可作为矿山开采设计依据。</w:t>
      </w:r>
    </w:p>
    <w:p>
      <w:pPr>
        <w:pStyle w:val="98"/>
        <w:ind w:firstLine="560"/>
      </w:pPr>
      <w:r>
        <w:rPr>
          <w:rFonts w:hint="eastAsia"/>
        </w:rPr>
        <w:t>4) 露天渗水量</w:t>
      </w:r>
    </w:p>
    <w:p>
      <w:pPr>
        <w:pStyle w:val="98"/>
        <w:ind w:firstLine="560"/>
      </w:pPr>
      <w:r>
        <w:rPr>
          <w:rFonts w:hint="eastAsia"/>
        </w:rPr>
        <w:t>考虑地表降雨渗入量，结合《辽宁省中小河流(无资料地区)设计暴雨洪水计算方法》有关暴雨数据等，</w:t>
      </w:r>
      <w:r>
        <w:t>选取的暴雨频率为</w:t>
      </w:r>
      <w:r>
        <w:rPr>
          <w:rFonts w:hint="eastAsia"/>
        </w:rPr>
        <w:t>20</w:t>
      </w:r>
      <w:r>
        <w:t>年一遇</w:t>
      </w:r>
      <w:r>
        <w:rPr>
          <w:rFonts w:hint="eastAsia"/>
        </w:rPr>
        <w:t>，计算降雨渗入</w:t>
      </w:r>
      <w:r>
        <w:t>量。</w:t>
      </w:r>
    </w:p>
    <w:p>
      <w:pPr>
        <w:pStyle w:val="98"/>
        <w:ind w:firstLine="560"/>
      </w:pPr>
      <w:r>
        <w:t>降雨渗入量公式：</w:t>
      </w:r>
    </w:p>
    <w:p>
      <w:pPr>
        <w:pStyle w:val="98"/>
        <w:ind w:firstLine="560"/>
        <w:jc w:val="center"/>
      </w:pPr>
      <w:r>
        <w:t>Q=H</w:t>
      </w:r>
      <w:r>
        <w:rPr>
          <w:vertAlign w:val="subscript"/>
        </w:rPr>
        <w:t>24p</w:t>
      </w:r>
      <w:r>
        <w:t>·F·α</w:t>
      </w:r>
    </w:p>
    <w:p>
      <w:pPr>
        <w:pStyle w:val="98"/>
        <w:ind w:firstLine="560"/>
      </w:pPr>
      <w:r>
        <w:t>式中：α－渗入系数，</w:t>
      </w:r>
      <w:r>
        <w:rPr>
          <w:rFonts w:hint="eastAsia"/>
        </w:rPr>
        <w:t>0.15</w:t>
      </w:r>
      <w:r>
        <w:t>；根据《采矿设计手册》</w:t>
      </w:r>
      <w:r>
        <w:rPr>
          <w:rFonts w:hint="eastAsia"/>
        </w:rPr>
        <w:t>(矿产地质卷上)“第三章矿山防治水，3.4.2.4章节”；</w:t>
      </w:r>
    </w:p>
    <w:p>
      <w:pPr>
        <w:pStyle w:val="98"/>
        <w:ind w:firstLine="1400" w:firstLineChars="500"/>
      </w:pPr>
      <w:r>
        <w:rPr>
          <w:rFonts w:hint="eastAsia"/>
        </w:rPr>
        <w:t>H</w:t>
      </w:r>
      <w:r>
        <w:rPr>
          <w:rFonts w:hint="eastAsia"/>
          <w:vertAlign w:val="subscript"/>
        </w:rPr>
        <w:t>24p</w:t>
      </w:r>
      <w:r>
        <w:rPr>
          <w:rFonts w:hint="eastAsia"/>
        </w:rPr>
        <w:t>—设计频率24小时暴雨量，0.05m；</w:t>
      </w:r>
    </w:p>
    <w:p>
      <w:pPr>
        <w:pStyle w:val="98"/>
        <w:ind w:firstLine="1400" w:firstLineChars="500"/>
      </w:pPr>
      <w:r>
        <w:rPr>
          <w:rFonts w:hint="eastAsia"/>
        </w:rPr>
        <w:t>F—渗入面积，87742m</w:t>
      </w:r>
      <w:r>
        <w:rPr>
          <w:rFonts w:hint="eastAsia"/>
          <w:vertAlign w:val="superscript"/>
        </w:rPr>
        <w:t>2</w:t>
      </w:r>
      <w:r>
        <w:t>。</w:t>
      </w:r>
    </w:p>
    <w:p>
      <w:pPr>
        <w:pStyle w:val="98"/>
        <w:ind w:firstLine="560"/>
      </w:pPr>
      <w:r>
        <w:t>经计算，正常降雨渗入量为</w:t>
      </w:r>
      <w:r>
        <w:rPr>
          <w:rFonts w:hint="eastAsia"/>
        </w:rPr>
        <w:t>220</w:t>
      </w:r>
      <w:r>
        <w:t>m</w:t>
      </w:r>
      <w:r>
        <w:rPr>
          <w:vertAlign w:val="superscript"/>
        </w:rPr>
        <w:t>3</w:t>
      </w:r>
      <w:r>
        <w:t>/d；暴雨渗入量为</w:t>
      </w:r>
      <w:r>
        <w:rPr>
          <w:rFonts w:hint="eastAsia"/>
        </w:rPr>
        <w:t>658</w:t>
      </w:r>
      <w:r>
        <w:t>m</w:t>
      </w:r>
      <w:r>
        <w:rPr>
          <w:vertAlign w:val="superscript"/>
        </w:rPr>
        <w:t>3</w:t>
      </w:r>
      <w:r>
        <w:t>/d。</w:t>
      </w:r>
    </w:p>
    <w:bookmarkEnd w:id="135"/>
    <w:bookmarkEnd w:id="136"/>
    <w:p>
      <w:pPr>
        <w:pStyle w:val="6"/>
        <w:ind w:firstLine="562" w:firstLineChars="200"/>
        <w:rPr>
          <w:rFonts w:hint="default"/>
        </w:rPr>
      </w:pPr>
      <w:r>
        <w:t>2.工程地质</w:t>
      </w:r>
    </w:p>
    <w:p>
      <w:pPr>
        <w:pStyle w:val="98"/>
        <w:ind w:firstLine="560"/>
      </w:pPr>
      <w:bookmarkStart w:id="139" w:name="_Toc137027275"/>
      <w:bookmarkStart w:id="140" w:name="_Hlk171691251"/>
      <w:r>
        <w:rPr>
          <w:rFonts w:hint="eastAsia"/>
        </w:rPr>
        <w:t>1)</w:t>
      </w:r>
      <w:r>
        <w:t xml:space="preserve"> </w:t>
      </w:r>
      <w:bookmarkEnd w:id="139"/>
      <w:r>
        <w:rPr>
          <w:rFonts w:hint="eastAsia"/>
        </w:rPr>
        <w:t>工程地质岩组特征</w:t>
      </w:r>
    </w:p>
    <w:bookmarkEnd w:id="140"/>
    <w:p>
      <w:pPr>
        <w:pStyle w:val="98"/>
        <w:ind w:firstLine="560"/>
      </w:pPr>
      <w:bookmarkStart w:id="141" w:name="_Hlk171691314"/>
      <w:r>
        <w:rPr>
          <w:rFonts w:hint="eastAsia"/>
        </w:rPr>
        <w:t>根据以往地质工作勘查成果和钻孔水文地质工程地质编录成果，本矿区分为松散、软弱岩类、块状岩类和特殊岩类。</w:t>
      </w:r>
    </w:p>
    <w:p>
      <w:pPr>
        <w:pStyle w:val="98"/>
        <w:ind w:firstLine="560"/>
      </w:pPr>
      <w:r>
        <w:rPr>
          <w:rFonts w:hint="eastAsia"/>
        </w:rPr>
        <w:t>(1) 松散、软弱岩类</w:t>
      </w:r>
    </w:p>
    <w:p>
      <w:pPr>
        <w:pStyle w:val="98"/>
        <w:ind w:firstLine="560"/>
      </w:pPr>
      <w:r>
        <w:rPr>
          <w:rFonts w:hint="eastAsia"/>
        </w:rPr>
        <w:t>松散岩类沿季节性河流两侧的冲洪积沟谷分布。岩性为坡积、冲洪积的粘土、砂土、砾石土等。厚度一般1～3m，最厚者可达5m左右，结构松散，自然安息角约60°。属软弱土多层结构体，结构松散，颗粒相差悬殊，工程地质条件较差。</w:t>
      </w:r>
    </w:p>
    <w:p>
      <w:pPr>
        <w:pStyle w:val="98"/>
        <w:ind w:firstLine="560"/>
      </w:pPr>
      <w:r>
        <w:rPr>
          <w:rFonts w:hint="eastAsia"/>
        </w:rPr>
        <w:t>(2) 块状岩类</w:t>
      </w:r>
    </w:p>
    <w:p>
      <w:pPr>
        <w:pStyle w:val="98"/>
        <w:ind w:firstLine="560"/>
      </w:pPr>
      <w:r>
        <w:rPr>
          <w:rFonts w:hint="eastAsia"/>
        </w:rPr>
        <w:t>主要为变粒岩、浅粒岩、蚀变闪长岩。RQD值一般可达50～80%，岩石质量等级中等的，岩体中等完整，随着深度增加，岩体较完整-完整。岩体基本质量等级为Ⅴ级。</w:t>
      </w:r>
    </w:p>
    <w:p>
      <w:pPr>
        <w:pStyle w:val="98"/>
        <w:ind w:firstLine="560"/>
      </w:pPr>
      <w:r>
        <w:rPr>
          <w:rFonts w:hint="eastAsia"/>
        </w:rPr>
        <w:t>(3) 特殊岩类</w:t>
      </w:r>
    </w:p>
    <w:p>
      <w:pPr>
        <w:pStyle w:val="98"/>
        <w:ind w:firstLine="560"/>
      </w:pPr>
      <w:r>
        <w:rPr>
          <w:rFonts w:hint="eastAsia"/>
        </w:rPr>
        <w:t>主要为以硅灰石化大理岩、方解大理岩夹硅化大理岩为主的可溶岩类。RQD值一般可达60～85%，岩石完整性好，抗压、抗剪性大，垂直层理方向为800～1400kg/cm</w:t>
      </w:r>
      <w:r>
        <w:rPr>
          <w:rFonts w:hint="eastAsia"/>
          <w:vertAlign w:val="superscript"/>
        </w:rPr>
        <w:t>2</w:t>
      </w:r>
      <w:r>
        <w:rPr>
          <w:rFonts w:hint="eastAsia"/>
        </w:rPr>
        <w:t>；平行层理抗压强度为1165～1180kg/cm</w:t>
      </w:r>
      <w:r>
        <w:rPr>
          <w:rFonts w:hint="eastAsia"/>
          <w:vertAlign w:val="superscript"/>
        </w:rPr>
        <w:t>2</w:t>
      </w:r>
      <w:r>
        <w:rPr>
          <w:rFonts w:hint="eastAsia"/>
        </w:rPr>
        <w:t>，硬度系数为f=6～12。岩石质量等级中等～好的，岩体完整程度中等～较完整，随着深度增加，岩体较完整～完整。属半坚硬～坚硬岩。</w:t>
      </w:r>
    </w:p>
    <w:p>
      <w:pPr>
        <w:pStyle w:val="98"/>
        <w:ind w:firstLine="560"/>
        <w:rPr>
          <w:rFonts w:hAnsi="宋体"/>
        </w:rPr>
      </w:pPr>
      <w:r>
        <w:rPr>
          <w:rFonts w:hint="eastAsia" w:hAnsi="宋体"/>
        </w:rPr>
        <w:t>2) 工程地质评价</w:t>
      </w:r>
    </w:p>
    <w:p>
      <w:pPr>
        <w:pStyle w:val="98"/>
        <w:ind w:firstLine="560"/>
        <w:rPr>
          <w:rFonts w:hAnsi="宋体"/>
        </w:rPr>
      </w:pPr>
      <w:bookmarkStart w:id="142" w:name="OLE_LINK138"/>
      <w:bookmarkStart w:id="143" w:name="OLE_LINK137"/>
      <w:r>
        <w:rPr>
          <w:rFonts w:hint="eastAsia" w:hAnsi="宋体"/>
          <w:color w:val="FF0000"/>
        </w:rPr>
        <w:t>现状矿山在开采时未发生过坍塌冒顶、矿井突水、地面裂缝、滑坡泥石流等地质问题。</w:t>
      </w:r>
    </w:p>
    <w:bookmarkEnd w:id="142"/>
    <w:bookmarkEnd w:id="143"/>
    <w:p>
      <w:pPr>
        <w:pStyle w:val="98"/>
        <w:ind w:firstLine="560"/>
        <w:rPr>
          <w:rFonts w:hAnsi="宋体"/>
        </w:rPr>
      </w:pPr>
      <w:r>
        <w:rPr>
          <w:rFonts w:hint="eastAsia" w:hAnsi="宋体"/>
        </w:rPr>
        <w:t>(1) 坍塌冒顶</w:t>
      </w:r>
    </w:p>
    <w:p>
      <w:pPr>
        <w:pStyle w:val="98"/>
        <w:ind w:firstLine="560"/>
        <w:rPr>
          <w:rFonts w:hAnsi="宋体"/>
        </w:rPr>
      </w:pPr>
      <w:r>
        <w:rPr>
          <w:rFonts w:hint="eastAsia" w:hAnsi="宋体"/>
        </w:rPr>
        <w:t>矿体赋存于下古生界富拉堡子岩组方解石大理岩中，与围岩界线清楚，呈层状产出。矿体产状与大理岩产状基本一致，走向NE10～30°，矿体及围岩较致密坚硬，构造裂隙不发育，物理性能良好，因此开采条件较好，区内断裂不发育，褶皱构造简单。矿体位于调兵山背斜东翼，因此，主要表现为单斜层状产出，倾角一般60°±，局部近直立。因此可能诱发、加剧坍塌冒顶的可能性小，其危险性中等。</w:t>
      </w:r>
    </w:p>
    <w:p>
      <w:pPr>
        <w:pStyle w:val="98"/>
        <w:ind w:firstLine="560"/>
        <w:rPr>
          <w:rFonts w:hAnsi="宋体"/>
        </w:rPr>
      </w:pPr>
      <w:r>
        <w:rPr>
          <w:rFonts w:hint="eastAsia" w:hAnsi="宋体"/>
        </w:rPr>
        <w:t>(2) 矿井突水</w:t>
      </w:r>
    </w:p>
    <w:p>
      <w:pPr>
        <w:pStyle w:val="98"/>
        <w:ind w:firstLine="560"/>
        <w:rPr>
          <w:rFonts w:hAnsi="宋体"/>
        </w:rPr>
      </w:pPr>
      <w:r>
        <w:rPr>
          <w:rFonts w:hint="eastAsia" w:hAnsi="宋体"/>
        </w:rPr>
        <w:t>矿区为低山丘陵区，区内无较大河流，地下水主要由大气降水补给，然后以泉的形式流出地表。含水层以地表风化裂隙层和大理岩为主，根据钻孔资料，大理岩岩石较完整，节理裂隙及岩溶不发育，故本区含水层的水量微弱。矿体及围岩较致密坚硬，构造裂隙不发育，物理性能良好，因此开采条件较好，区内断裂不发育，褶皱构造简单。因此诱发矿井突水，破坏矿井开采危及井下作业人员生命安全，其可能性小，危险性小。</w:t>
      </w:r>
    </w:p>
    <w:p>
      <w:pPr>
        <w:pStyle w:val="98"/>
        <w:ind w:firstLine="560"/>
        <w:rPr>
          <w:rFonts w:hAnsi="宋体"/>
        </w:rPr>
      </w:pPr>
      <w:r>
        <w:rPr>
          <w:rFonts w:hint="eastAsia" w:hAnsi="宋体"/>
        </w:rPr>
        <w:t>3) 工程地质勘查类型</w:t>
      </w:r>
    </w:p>
    <w:bookmarkEnd w:id="141"/>
    <w:p>
      <w:pPr>
        <w:pStyle w:val="98"/>
        <w:ind w:firstLine="560"/>
        <w:rPr>
          <w:rFonts w:hAnsi="宋体"/>
        </w:rPr>
      </w:pPr>
      <w:r>
        <w:rPr>
          <w:rFonts w:hint="eastAsia" w:hAnsi="宋体"/>
        </w:rPr>
        <w:t>矿体及围岩为坚硬岩组，井巷围岩稳固性较好，在井采过程中在构造破碎带部位会有局部变形。根据矿体、围岩工程地质特征，主要工程地质问题出现层位，工程地质勘查类型划分为第五类第二型，即以碳酸盐类为主的工程地质条件中等型。</w:t>
      </w:r>
    </w:p>
    <w:p>
      <w:pPr>
        <w:pStyle w:val="6"/>
        <w:ind w:firstLine="562" w:firstLineChars="200"/>
        <w:rPr>
          <w:rFonts w:hint="default"/>
        </w:rPr>
      </w:pPr>
      <w:r>
        <w:t>3.环境地质</w:t>
      </w:r>
    </w:p>
    <w:p>
      <w:pPr>
        <w:pStyle w:val="98"/>
        <w:ind w:firstLine="560"/>
        <w:rPr>
          <w:rFonts w:hAnsi="宋体"/>
        </w:rPr>
      </w:pPr>
      <w:bookmarkStart w:id="144" w:name="_Toc137027279"/>
      <w:bookmarkStart w:id="145" w:name="_Hlk171692191"/>
      <w:r>
        <w:rPr>
          <w:rFonts w:hint="eastAsia" w:hAnsi="宋体"/>
        </w:rPr>
        <w:t xml:space="preserve">1) </w:t>
      </w:r>
      <w:bookmarkEnd w:id="144"/>
      <w:r>
        <w:rPr>
          <w:rFonts w:hint="eastAsia" w:hAnsi="宋体"/>
        </w:rPr>
        <w:t>区域稳定性</w:t>
      </w:r>
    </w:p>
    <w:p>
      <w:pPr>
        <w:pStyle w:val="98"/>
        <w:ind w:firstLine="560"/>
        <w:rPr>
          <w:rFonts w:hAnsi="宋体"/>
        </w:rPr>
      </w:pPr>
      <w:r>
        <w:rPr>
          <w:rFonts w:hint="eastAsia" w:hAnsi="宋体"/>
        </w:rPr>
        <w:t>本区及周边地区地震设防烈度按《建筑抗震设计规范》（GB50011-2010）及中国地震动参数区划图（GB18306-2015）划分矿区地震烈度为Ⅵ度，设防基本地震加速度为0.10g，峰值加速度为0.10g，设计地震分组为第一组，场地类别为I</w:t>
      </w:r>
      <w:r>
        <w:rPr>
          <w:rFonts w:hint="eastAsia" w:hAnsi="宋体"/>
          <w:vertAlign w:val="subscript"/>
        </w:rPr>
        <w:t>0</w:t>
      </w:r>
      <w:r>
        <w:rPr>
          <w:rFonts w:hint="eastAsia" w:hAnsi="宋体"/>
        </w:rPr>
        <w:t>，地震反应谱周期为0.35s。</w:t>
      </w:r>
      <w:bookmarkStart w:id="146" w:name="OLE_LINK123"/>
      <w:bookmarkStart w:id="147" w:name="OLE_LINK124"/>
      <w:r>
        <w:rPr>
          <w:rFonts w:hint="eastAsia" w:hAnsi="宋体"/>
          <w:color w:val="FF0000"/>
        </w:rPr>
        <w:t>矿区地震烈度为Ⅵ度，区域地壳稳定性较好</w:t>
      </w:r>
      <w:bookmarkEnd w:id="146"/>
      <w:bookmarkEnd w:id="147"/>
      <w:r>
        <w:rPr>
          <w:rFonts w:hint="eastAsia" w:hAnsi="宋体"/>
        </w:rPr>
        <w:t>。</w:t>
      </w:r>
    </w:p>
    <w:p>
      <w:pPr>
        <w:pStyle w:val="98"/>
        <w:ind w:firstLine="560"/>
        <w:rPr>
          <w:lang w:val="zh-CN" w:bidi="zh-CN"/>
        </w:rPr>
      </w:pPr>
      <w:bookmarkStart w:id="148" w:name="_Toc323644177"/>
      <w:bookmarkStart w:id="149" w:name="_Toc315717489"/>
      <w:r>
        <w:rPr>
          <w:rFonts w:hint="eastAsia"/>
          <w:lang w:val="zh-CN" w:bidi="zh-CN"/>
        </w:rPr>
        <w:t>2) 矿区</w:t>
      </w:r>
      <w:bookmarkEnd w:id="148"/>
      <w:bookmarkEnd w:id="149"/>
      <w:r>
        <w:rPr>
          <w:rFonts w:hint="eastAsia"/>
          <w:lang w:val="zh-CN" w:bidi="zh-CN"/>
        </w:rPr>
        <w:t>地质环境现状</w:t>
      </w:r>
    </w:p>
    <w:p>
      <w:pPr>
        <w:pStyle w:val="98"/>
        <w:ind w:firstLine="560"/>
        <w:rPr>
          <w:lang w:bidi="zh-CN"/>
        </w:rPr>
      </w:pPr>
      <w:r>
        <w:rPr>
          <w:rFonts w:hint="eastAsia"/>
          <w:lang w:bidi="zh-CN"/>
        </w:rPr>
        <w:t>矿山原为露天开采，现已转为地下开采，现阶段矿山生产未发生过地质灾害。</w:t>
      </w:r>
    </w:p>
    <w:p>
      <w:pPr>
        <w:pStyle w:val="98"/>
        <w:ind w:firstLine="560"/>
        <w:rPr>
          <w:lang w:bidi="zh-CN"/>
        </w:rPr>
      </w:pPr>
      <w:r>
        <w:rPr>
          <w:rFonts w:hint="eastAsia"/>
          <w:lang w:bidi="zh-CN"/>
        </w:rPr>
        <w:t>地表留存的办公区、露天采场、堆矿场、选矿厂等，对地形地貌、土壤、生态环境造成的影响中等。</w:t>
      </w:r>
    </w:p>
    <w:p>
      <w:pPr>
        <w:pStyle w:val="98"/>
        <w:ind w:firstLine="560"/>
        <w:rPr>
          <w:lang w:bidi="zh-CN"/>
        </w:rPr>
      </w:pPr>
      <w:r>
        <w:rPr>
          <w:rFonts w:hint="eastAsia"/>
          <w:lang w:bidi="zh-CN"/>
        </w:rPr>
        <w:t>现状情况下矿区地表水地下水质量良好，未发生过地表水、地下水污染情况。</w:t>
      </w:r>
    </w:p>
    <w:p>
      <w:pPr>
        <w:pStyle w:val="98"/>
        <w:ind w:firstLine="560"/>
        <w:rPr>
          <w:lang w:val="zh-CN" w:bidi="zh-CN"/>
        </w:rPr>
      </w:pPr>
      <w:r>
        <w:rPr>
          <w:rFonts w:hint="eastAsia"/>
          <w:lang w:bidi="zh-CN"/>
        </w:rPr>
        <w:t>现状下未出现过热害、辐射污染、有毒有害气体等现象。</w:t>
      </w:r>
    </w:p>
    <w:p>
      <w:pPr>
        <w:pStyle w:val="98"/>
        <w:ind w:firstLine="560"/>
        <w:rPr>
          <w:lang w:val="zh-CN" w:bidi="zh-CN"/>
        </w:rPr>
      </w:pPr>
      <w:r>
        <w:rPr>
          <w:rFonts w:hint="eastAsia"/>
          <w:lang w:val="zh-CN" w:bidi="zh-CN"/>
        </w:rPr>
        <w:t>3) 矿山开采对地质环境的影响</w:t>
      </w:r>
    </w:p>
    <w:p>
      <w:pPr>
        <w:pStyle w:val="98"/>
        <w:ind w:firstLine="560"/>
        <w:rPr>
          <w:lang w:bidi="zh-CN"/>
        </w:rPr>
      </w:pPr>
      <w:r>
        <w:rPr>
          <w:rFonts w:hint="eastAsia"/>
          <w:lang w:bidi="zh-CN"/>
        </w:rPr>
        <w:t>未来矿山生产，可能对地质环境造成以下影响：</w:t>
      </w:r>
    </w:p>
    <w:p>
      <w:pPr>
        <w:pStyle w:val="98"/>
        <w:ind w:firstLine="560"/>
        <w:rPr>
          <w:lang w:bidi="zh-CN"/>
        </w:rPr>
      </w:pPr>
      <w:r>
        <w:rPr>
          <w:rFonts w:hint="eastAsia"/>
          <w:lang w:bidi="zh-CN"/>
        </w:rPr>
        <w:t>(1) 矿山未来开采，地表的办公区、露天采坑、堆矿场、选矿厂等，会对地地形地貌、土壤、生态环境造成破坏，产生局部地表变形。</w:t>
      </w:r>
    </w:p>
    <w:p>
      <w:pPr>
        <w:pStyle w:val="98"/>
        <w:ind w:firstLine="560"/>
        <w:rPr>
          <w:lang w:bidi="zh-CN"/>
        </w:rPr>
      </w:pPr>
      <w:r>
        <w:rPr>
          <w:rFonts w:hint="eastAsia"/>
          <w:lang w:bidi="zh-CN"/>
        </w:rPr>
        <w:t>(2) 未来矿山生产，会对水环境造成影响：</w:t>
      </w:r>
    </w:p>
    <w:p>
      <w:pPr>
        <w:pStyle w:val="98"/>
        <w:ind w:firstLine="560"/>
        <w:rPr>
          <w:lang w:bidi="zh-CN"/>
        </w:rPr>
      </w:pPr>
      <w:r>
        <w:rPr>
          <w:rFonts w:hint="eastAsia"/>
          <w:lang w:bidi="zh-CN"/>
        </w:rPr>
        <w:t>1) 表现在地下水水位下降，地下水水位下降范围主要集中在坑道疏干影响半径范围内；</w:t>
      </w:r>
    </w:p>
    <w:p>
      <w:pPr>
        <w:pStyle w:val="98"/>
        <w:ind w:firstLine="560"/>
        <w:rPr>
          <w:lang w:bidi="zh-CN"/>
        </w:rPr>
      </w:pPr>
      <w:r>
        <w:rPr>
          <w:rFonts w:hint="eastAsia"/>
          <w:lang w:bidi="zh-CN"/>
        </w:rPr>
        <w:t>2) 矿山生产、生活废水及尾矿水排放可能对地表水体造成轻度污染。</w:t>
      </w:r>
    </w:p>
    <w:p>
      <w:pPr>
        <w:pStyle w:val="98"/>
        <w:ind w:firstLine="560"/>
        <w:rPr>
          <w:lang w:bidi="zh-CN"/>
        </w:rPr>
      </w:pPr>
      <w:r>
        <w:rPr>
          <w:rFonts w:hint="eastAsia"/>
          <w:lang w:bidi="zh-CN"/>
        </w:rPr>
        <w:t>(3) 未来矿山生产，可能造成轻微的地面塌陷、地裂缝；地面沉陷</w:t>
      </w:r>
      <w:bookmarkStart w:id="150" w:name="OLE_LINK127"/>
      <w:bookmarkStart w:id="151" w:name="OLE_LINK128"/>
      <w:r>
        <w:rPr>
          <w:rFonts w:hint="eastAsia"/>
          <w:lang w:bidi="zh-CN"/>
        </w:rPr>
        <w:t>；</w:t>
      </w:r>
      <w:r>
        <w:rPr>
          <w:rFonts w:hint="eastAsia"/>
          <w:color w:val="FF0000"/>
          <w:lang w:bidi="zh-CN"/>
        </w:rPr>
        <w:t>矿体倾角较大，根据现场实测剖面，硅灰石矿体厚度为</w:t>
      </w:r>
      <w:r>
        <w:rPr>
          <w:color w:val="FF0000"/>
          <w:lang w:bidi="zh-CN"/>
        </w:rPr>
        <w:t>2.0</w:t>
      </w:r>
      <w:r>
        <w:rPr>
          <w:rFonts w:hint="eastAsia"/>
          <w:color w:val="FF0000"/>
          <w:lang w:bidi="zh-CN"/>
        </w:rPr>
        <w:t>～</w:t>
      </w:r>
      <w:r>
        <w:rPr>
          <w:color w:val="FF0000"/>
          <w:lang w:bidi="zh-CN"/>
        </w:rPr>
        <w:t>7.5m</w:t>
      </w:r>
      <w:r>
        <w:rPr>
          <w:rFonts w:hint="eastAsia"/>
          <w:color w:val="FF0000"/>
          <w:lang w:bidi="zh-CN"/>
        </w:rPr>
        <w:t>左右。矿体及围岩均呈层状或似层状产出，岩（矿）石致密坚硬，构造裂隙不发育，其物理性能良好。随着采矿活动的延续，矿区形成较大的采空区，该矿开采可能诱发加剧地面塌陷、地裂缝地质灾害，其可能性小、危险性中等。</w:t>
      </w:r>
      <w:bookmarkEnd w:id="150"/>
      <w:bookmarkEnd w:id="151"/>
    </w:p>
    <w:p>
      <w:pPr>
        <w:pStyle w:val="98"/>
        <w:ind w:firstLine="560"/>
        <w:rPr>
          <w:lang w:bidi="zh-CN"/>
        </w:rPr>
      </w:pPr>
      <w:r>
        <w:rPr>
          <w:rFonts w:hint="eastAsia"/>
          <w:lang w:bidi="zh-CN"/>
        </w:rPr>
        <w:t>(4) 随着排岩场规模和高度不断增加地表排岩场边坡可能发生小型的滑坡、泥石流地质灾害；</w:t>
      </w:r>
    </w:p>
    <w:p>
      <w:pPr>
        <w:pStyle w:val="98"/>
        <w:ind w:firstLine="560"/>
        <w:rPr>
          <w:lang w:bidi="zh-CN"/>
        </w:rPr>
      </w:pPr>
      <w:r>
        <w:rPr>
          <w:rFonts w:hint="eastAsia"/>
          <w:lang w:bidi="zh-CN"/>
        </w:rPr>
        <w:t>(5) 矿石破碎及运输过程中产生粉尘，污染环境。</w:t>
      </w:r>
    </w:p>
    <w:p>
      <w:pPr>
        <w:pStyle w:val="98"/>
        <w:ind w:firstLine="560"/>
        <w:rPr>
          <w:lang w:bidi="zh-CN"/>
        </w:rPr>
      </w:pPr>
      <w:r>
        <w:rPr>
          <w:rFonts w:hint="eastAsia"/>
          <w:lang w:bidi="zh-CN"/>
        </w:rPr>
        <w:t>综合上述因素，应采取以下措施：</w:t>
      </w:r>
    </w:p>
    <w:p>
      <w:pPr>
        <w:pStyle w:val="98"/>
        <w:ind w:firstLine="560"/>
        <w:rPr>
          <w:lang w:bidi="zh-CN"/>
        </w:rPr>
      </w:pPr>
      <w:r>
        <w:rPr>
          <w:rFonts w:hint="eastAsia"/>
          <w:lang w:bidi="zh-CN"/>
        </w:rPr>
        <w:t>(1) 地表办公区、露天采场、堆矿场、选矿厂等及时进行全面的复垦、绿化、恢复地形地貌及生态环境；</w:t>
      </w:r>
    </w:p>
    <w:p>
      <w:pPr>
        <w:pStyle w:val="98"/>
        <w:ind w:firstLine="560"/>
        <w:rPr>
          <w:lang w:bidi="zh-CN"/>
        </w:rPr>
      </w:pPr>
      <w:r>
        <w:rPr>
          <w:rFonts w:hint="eastAsia"/>
          <w:lang w:bidi="zh-CN"/>
        </w:rPr>
        <w:t>(2) 对于矿井水及其他矿山废水治理合格后，才可以排放；</w:t>
      </w:r>
    </w:p>
    <w:p>
      <w:pPr>
        <w:pStyle w:val="98"/>
        <w:ind w:firstLine="560"/>
        <w:rPr>
          <w:lang w:bidi="zh-CN"/>
        </w:rPr>
      </w:pPr>
      <w:r>
        <w:rPr>
          <w:rFonts w:hint="eastAsia"/>
          <w:lang w:bidi="zh-CN"/>
        </w:rPr>
        <w:t>(3) 地下开采，巷道不稳定部位及时进行支护，地表可能发生地面塌陷、地裂缝的部位要进行实时监测；</w:t>
      </w:r>
    </w:p>
    <w:p>
      <w:pPr>
        <w:pStyle w:val="98"/>
        <w:ind w:firstLine="560"/>
        <w:rPr>
          <w:lang w:bidi="zh-CN"/>
        </w:rPr>
      </w:pPr>
      <w:r>
        <w:rPr>
          <w:rFonts w:hint="eastAsia"/>
          <w:lang w:bidi="zh-CN"/>
        </w:rPr>
        <w:t>(4) 排岩场边坡要及时进行削坡，在其周边设置截洪沟，预防洪水和泥石流；</w:t>
      </w:r>
    </w:p>
    <w:p>
      <w:pPr>
        <w:pStyle w:val="98"/>
        <w:ind w:firstLine="560"/>
        <w:rPr>
          <w:lang w:val="zh-CN" w:bidi="zh-CN"/>
        </w:rPr>
      </w:pPr>
      <w:r>
        <w:rPr>
          <w:rFonts w:hint="eastAsia"/>
          <w:lang w:bidi="zh-CN"/>
        </w:rPr>
        <w:t>(5) 凿岩、爆破、破碎及运输过程中要及时进行洒水除尘。</w:t>
      </w:r>
    </w:p>
    <w:p>
      <w:pPr>
        <w:pStyle w:val="98"/>
        <w:ind w:firstLine="560"/>
        <w:rPr>
          <w:lang w:val="zh-CN" w:bidi="zh-CN"/>
        </w:rPr>
      </w:pPr>
      <w:r>
        <w:rPr>
          <w:rFonts w:hint="eastAsia"/>
          <w:lang w:val="zh-CN" w:bidi="zh-CN"/>
        </w:rPr>
        <w:t>4) 地质环境质量</w:t>
      </w:r>
    </w:p>
    <w:p>
      <w:pPr>
        <w:pStyle w:val="98"/>
        <w:ind w:firstLine="560"/>
        <w:rPr>
          <w:lang w:val="zh-CN" w:bidi="zh-CN"/>
        </w:rPr>
      </w:pPr>
      <w:r>
        <w:rPr>
          <w:rFonts w:hint="eastAsia"/>
          <w:lang w:bidi="zh-CN"/>
        </w:rPr>
        <w:t>地表留存的办公区、露天采坑、堆矿场、选矿厂等，对地形地貌、土壤、生态环境造成的影响中等；现状条件下未发生过崩塌、滑坡、泥石流等地质灾害；通过多年开采，未造成了矿区及周边的地表水体的漏失和主要含水层水位下降。现状情况下矿区地表水地下水质量良好，未发生过地表水、地下水污染情况。现状下未出现过热害、辐射污染、有毒有害气体等现象。根据地质环境现状及矿床开采引起的变化，矿区地质环境类型划分为第二类，即矿区地质环境质量中等</w:t>
      </w:r>
      <w:r>
        <w:rPr>
          <w:rFonts w:hint="eastAsia"/>
          <w:lang w:val="zh-CN" w:bidi="zh-CN"/>
        </w:rPr>
        <w:t>。</w:t>
      </w:r>
      <w:bookmarkEnd w:id="145"/>
    </w:p>
    <w:p>
      <w:pPr>
        <w:pStyle w:val="467"/>
        <w:ind w:left="0"/>
      </w:pPr>
      <w:bookmarkStart w:id="152" w:name="_Toc187151550"/>
      <w:bookmarkStart w:id="153" w:name="_Toc167307741"/>
      <w:bookmarkStart w:id="154" w:name="_Toc188453620"/>
      <w:r>
        <w:rPr>
          <w:rFonts w:hint="eastAsia"/>
        </w:rPr>
        <w:t>（三）矿产资源储量情况</w:t>
      </w:r>
      <w:bookmarkEnd w:id="152"/>
      <w:bookmarkEnd w:id="153"/>
      <w:bookmarkEnd w:id="154"/>
    </w:p>
    <w:p>
      <w:pPr>
        <w:pStyle w:val="98"/>
        <w:ind w:firstLine="560"/>
      </w:pPr>
      <w:r>
        <w:rPr>
          <w:rFonts w:hint="eastAsia"/>
        </w:rPr>
        <w:t>1) 资源/储量估算的工业指标</w:t>
      </w:r>
    </w:p>
    <w:p>
      <w:pPr>
        <w:pStyle w:val="98"/>
        <w:ind w:firstLine="560"/>
        <w:rPr>
          <w:lang w:bidi="zh-CN"/>
        </w:rPr>
      </w:pPr>
      <w:bookmarkStart w:id="155" w:name="_Toc315717518"/>
      <w:bookmarkStart w:id="156" w:name="_Toc306863728"/>
      <w:bookmarkStart w:id="157" w:name="_Toc295918390"/>
      <w:bookmarkStart w:id="158" w:name="_Toc297293140"/>
      <w:bookmarkStart w:id="159" w:name="_Toc321748540"/>
      <w:r>
        <w:rPr>
          <w:rFonts w:hint="eastAsia"/>
          <w:lang w:bidi="zh-CN"/>
        </w:rPr>
        <w:t>依据《硅灰石、透辉石、透闪石、长石</w:t>
      </w:r>
      <w:r>
        <w:rPr>
          <w:lang w:bidi="zh-CN"/>
        </w:rPr>
        <w:t xml:space="preserve"> </w:t>
      </w:r>
      <w:r>
        <w:rPr>
          <w:rFonts w:hint="eastAsia"/>
          <w:lang w:bidi="zh-CN"/>
        </w:rPr>
        <w:t>矿产地质勘查规范》（</w:t>
      </w:r>
      <w:r>
        <w:rPr>
          <w:lang w:bidi="zh-CN"/>
        </w:rPr>
        <w:t>DZ/T 0323-2018</w:t>
      </w:r>
      <w:r>
        <w:rPr>
          <w:rFonts w:hint="eastAsia"/>
          <w:lang w:bidi="zh-CN"/>
        </w:rPr>
        <w:t>）对矿床工业指标的要求，该矿床为硅灰石矿，地下开采，因此本次工作采用的一般工业指标：</w:t>
      </w:r>
    </w:p>
    <w:p>
      <w:pPr>
        <w:pStyle w:val="98"/>
        <w:ind w:firstLine="560"/>
        <w:rPr>
          <w:lang w:bidi="zh-CN"/>
        </w:rPr>
      </w:pPr>
      <w:r>
        <w:rPr>
          <w:rFonts w:hint="eastAsia"/>
          <w:lang w:bidi="zh-CN"/>
        </w:rPr>
        <w:t>边界品位：含矿率</w:t>
      </w:r>
      <w:r>
        <w:rPr>
          <w:lang w:bidi="zh-CN"/>
        </w:rPr>
        <w:t>≥25%</w:t>
      </w:r>
    </w:p>
    <w:p>
      <w:pPr>
        <w:pStyle w:val="98"/>
        <w:ind w:firstLine="560"/>
        <w:rPr>
          <w:lang w:bidi="zh-CN"/>
        </w:rPr>
      </w:pPr>
      <w:r>
        <w:rPr>
          <w:rFonts w:hint="eastAsia"/>
          <w:lang w:bidi="zh-CN"/>
        </w:rPr>
        <w:t>工业品位：含矿率</w:t>
      </w:r>
      <w:r>
        <w:rPr>
          <w:lang w:bidi="zh-CN"/>
        </w:rPr>
        <w:t>≥35%</w:t>
      </w:r>
    </w:p>
    <w:p>
      <w:pPr>
        <w:pStyle w:val="98"/>
        <w:ind w:firstLine="560"/>
        <w:rPr>
          <w:lang w:bidi="zh-CN"/>
        </w:rPr>
      </w:pPr>
      <w:r>
        <w:rPr>
          <w:rFonts w:hint="eastAsia"/>
          <w:lang w:bidi="zh-CN"/>
        </w:rPr>
        <w:t>最小可采厚度：</w:t>
      </w:r>
      <w:r>
        <w:rPr>
          <w:lang w:bidi="zh-CN"/>
        </w:rPr>
        <w:t>1m</w:t>
      </w:r>
    </w:p>
    <w:p>
      <w:pPr>
        <w:pStyle w:val="98"/>
        <w:ind w:firstLine="560"/>
        <w:rPr>
          <w:lang w:bidi="zh-CN"/>
        </w:rPr>
      </w:pPr>
      <w:r>
        <w:rPr>
          <w:rFonts w:hint="eastAsia"/>
          <w:lang w:bidi="zh-CN"/>
        </w:rPr>
        <w:t>夹石剔除厚度：</w:t>
      </w:r>
      <w:r>
        <w:rPr>
          <w:lang w:bidi="zh-CN"/>
        </w:rPr>
        <w:t>1m</w:t>
      </w:r>
      <w:bookmarkEnd w:id="155"/>
      <w:bookmarkEnd w:id="156"/>
      <w:bookmarkEnd w:id="157"/>
      <w:bookmarkEnd w:id="158"/>
      <w:bookmarkEnd w:id="159"/>
    </w:p>
    <w:p>
      <w:pPr>
        <w:pStyle w:val="98"/>
        <w:ind w:firstLine="560"/>
      </w:pPr>
      <w:r>
        <w:rPr>
          <w:rFonts w:hint="eastAsia"/>
        </w:rPr>
        <w:t>2) 地质资源量</w:t>
      </w:r>
    </w:p>
    <w:p>
      <w:pPr>
        <w:pStyle w:val="98"/>
        <w:ind w:firstLine="560"/>
        <w:rPr>
          <w:lang w:val="zh-CN" w:bidi="zh-CN"/>
        </w:rPr>
      </w:pPr>
      <w:r>
        <w:rPr>
          <w:rFonts w:hint="eastAsia"/>
          <w:lang w:val="zh-CN" w:bidi="zh-CN"/>
        </w:rPr>
        <w:t>2019年3月企业委托辽宁省有色地质一〇四队有限责任公司编制了《辽宁省调兵山市泉眼沟硅灰石矿资源储量分割报告》，截止2019年2月末，</w:t>
      </w:r>
      <w:r>
        <w:rPr>
          <w:rFonts w:hint="eastAsia"/>
          <w:lang w:bidi="zh-CN"/>
        </w:rPr>
        <w:t>分割划定后矿区内硅灰石资源储量（122b+333）57.56万t，其中122b储量26.943万t，333资源量30.617万t；硅灰石精矿资源储量（122b+333）28.848万t，其中122b储量12.621万t，333资源量16.227万t</w:t>
      </w:r>
      <w:r>
        <w:rPr>
          <w:rFonts w:hint="eastAsia"/>
          <w:lang w:val="zh-CN" w:bidi="zh-CN"/>
        </w:rPr>
        <w:t>。该核实报告于2019年4月通过了辽宁溪源土地矿产资源评估有限公司组织的专家评审，评审意见书：铁自事评(开)字〔2020〕001号，铁岭市自然资源局对评审意见书予以备案，备案文号为：铁国土资储备字〔2019〕006号。</w:t>
      </w:r>
    </w:p>
    <w:p>
      <w:pPr>
        <w:pStyle w:val="98"/>
        <w:ind w:firstLine="560"/>
        <w:rPr>
          <w:lang w:bidi="zh-CN"/>
        </w:rPr>
      </w:pPr>
      <w:r>
        <w:rPr>
          <w:rFonts w:hint="eastAsia"/>
          <w:lang w:bidi="zh-CN"/>
        </w:rPr>
        <w:t>2024年11月，企业在已有的核实工作基础上进一步查明矿区地质资料，重新提交了《辽宁省调兵山市泉眼沟矿区硅灰石矿补充勘探报告》，该报告于2024年11月通过了专家审查，取得了专家审查意见书。</w:t>
      </w:r>
      <w:bookmarkStart w:id="160" w:name="_Hlk162268840"/>
      <w:r>
        <w:rPr>
          <w:rFonts w:hint="eastAsia"/>
          <w:lang w:bidi="zh-CN"/>
        </w:rPr>
        <w:t>矿床地质资料勘查程度达到勘探要求。</w:t>
      </w:r>
    </w:p>
    <w:p>
      <w:pPr>
        <w:pStyle w:val="98"/>
        <w:ind w:firstLine="560"/>
        <w:rPr>
          <w:lang w:bidi="zh-CN"/>
        </w:rPr>
      </w:pPr>
      <w:r>
        <w:rPr>
          <w:rFonts w:hint="eastAsia"/>
          <w:lang w:bidi="zh-CN"/>
        </w:rPr>
        <w:t>矿区范围内共圈出1条硅灰石矿体，截止到2024年10月31日，采矿权范围内保有硅灰石矿石量（探明资源量+控制资源量+推断资源量）48.248万t，其中探明资源量8.239万t，控制资源量18.773万t，推断资源量2.1236万t；硅灰石精矿量（探明资源量+控制资源量+推断资源量）25.886万t，其中探明资源量4.037万t，控制资源量10.268万t，推断资源量11.581万t。</w:t>
      </w:r>
    </w:p>
    <w:p>
      <w:pPr>
        <w:pStyle w:val="98"/>
        <w:ind w:firstLine="560"/>
        <w:rPr>
          <w:lang w:bidi="zh-CN"/>
        </w:rPr>
      </w:pPr>
      <w:r>
        <w:rPr>
          <w:rFonts w:hint="eastAsia"/>
          <w:lang w:bidi="zh-CN"/>
        </w:rPr>
        <w:t>《补充勘探报告》与2019年《</w:t>
      </w:r>
      <w:r>
        <w:rPr>
          <w:rFonts w:hint="eastAsia"/>
          <w:lang w:val="zh-CN" w:bidi="zh-CN"/>
        </w:rPr>
        <w:t>资源储量分割报告</w:t>
      </w:r>
      <w:r>
        <w:rPr>
          <w:rFonts w:hint="eastAsia"/>
          <w:lang w:bidi="zh-CN"/>
        </w:rPr>
        <w:t>》对比，采矿权范围内硅灰石矿石量减少了9.312万t，矿区范围内累计查明资源量119.422万t，资源储量变化率为-7.8%。</w:t>
      </w:r>
      <w:bookmarkEnd w:id="160"/>
      <w:r>
        <w:rPr>
          <w:rFonts w:hint="eastAsia"/>
          <w:lang w:bidi="zh-CN"/>
        </w:rPr>
        <w:t>资源量变化原因是：</w:t>
      </w:r>
    </w:p>
    <w:p>
      <w:pPr>
        <w:pStyle w:val="98"/>
        <w:ind w:firstLine="560"/>
        <w:rPr>
          <w:lang w:bidi="zh-CN"/>
        </w:rPr>
      </w:pPr>
      <w:r>
        <w:rPr>
          <w:rFonts w:hint="eastAsia"/>
          <w:lang w:bidi="zh-CN"/>
        </w:rPr>
        <w:t>(1) 矿山生产开采，导致资源量减少。</w:t>
      </w:r>
    </w:p>
    <w:p>
      <w:pPr>
        <w:pStyle w:val="98"/>
        <w:ind w:firstLine="560"/>
        <w:rPr>
          <w:lang w:bidi="zh-CN"/>
        </w:rPr>
      </w:pPr>
      <w:r>
        <w:rPr>
          <w:rFonts w:hint="eastAsia"/>
          <w:lang w:bidi="zh-CN"/>
        </w:rPr>
        <w:t>(2) 本次根据矿山形成的采空区实际范围进行圈定，采空区范围增加，故资源量减少。</w:t>
      </w:r>
    </w:p>
    <w:p>
      <w:pPr>
        <w:pStyle w:val="98"/>
        <w:ind w:firstLine="560"/>
      </w:pPr>
      <w:r>
        <w:rPr>
          <w:rFonts w:hint="eastAsia"/>
          <w:lang w:bidi="zh-CN"/>
        </w:rPr>
        <w:t>依据《自然资源部关于深化矿产资源管理改革若干事项的意见》</w:t>
      </w:r>
      <w:r>
        <w:rPr>
          <w:lang w:bidi="zh-CN"/>
        </w:rPr>
        <w:t>(</w:t>
      </w:r>
      <w:r>
        <w:rPr>
          <w:rFonts w:hint="eastAsia"/>
          <w:lang w:bidi="zh-CN"/>
        </w:rPr>
        <w:t>自然资规〔</w:t>
      </w:r>
      <w:r>
        <w:rPr>
          <w:lang w:bidi="zh-CN"/>
        </w:rPr>
        <w:t>2023</w:t>
      </w:r>
      <w:r>
        <w:rPr>
          <w:rFonts w:hint="eastAsia"/>
          <w:lang w:bidi="zh-CN"/>
        </w:rPr>
        <w:t>〕</w:t>
      </w:r>
      <w:r>
        <w:rPr>
          <w:lang w:bidi="zh-CN"/>
        </w:rPr>
        <w:t>6</w:t>
      </w:r>
      <w:r>
        <w:rPr>
          <w:rFonts w:hint="eastAsia"/>
          <w:lang w:bidi="zh-CN"/>
        </w:rPr>
        <w:t>号</w:t>
      </w:r>
      <w:r>
        <w:rPr>
          <w:lang w:bidi="zh-CN"/>
        </w:rPr>
        <w:t>)</w:t>
      </w:r>
      <w:r>
        <w:rPr>
          <w:rFonts w:hint="eastAsia"/>
          <w:lang w:bidi="zh-CN"/>
        </w:rPr>
        <w:t>第十条</w:t>
      </w:r>
      <w:r>
        <w:rPr>
          <w:lang w:bidi="zh-CN"/>
        </w:rPr>
        <w:t xml:space="preserve"> </w:t>
      </w:r>
      <w:r>
        <w:rPr>
          <w:rFonts w:hint="eastAsia"/>
          <w:lang w:bidi="zh-CN"/>
        </w:rPr>
        <w:t>明确评审备案范围和权限：“探矿权转采矿权，采矿权变更矿种，采矿权变更</w:t>
      </w:r>
      <w:r>
        <w:rPr>
          <w:lang w:bidi="zh-CN"/>
        </w:rPr>
        <w:t>(</w:t>
      </w:r>
      <w:r>
        <w:rPr>
          <w:rFonts w:hint="eastAsia"/>
          <w:lang w:bidi="zh-CN"/>
        </w:rPr>
        <w:t>扩大或缩小</w:t>
      </w:r>
      <w:r>
        <w:rPr>
          <w:lang w:bidi="zh-CN"/>
        </w:rPr>
        <w:t>)</w:t>
      </w:r>
      <w:r>
        <w:rPr>
          <w:rFonts w:hint="eastAsia"/>
          <w:lang w:bidi="zh-CN"/>
        </w:rPr>
        <w:t>范围涉及矿产资源储量变化，探采矿期间探明地质储量、其他矿产在采矿期间累计查明矿产资源量发生重大变化的</w:t>
      </w:r>
      <w:r>
        <w:rPr>
          <w:lang w:bidi="zh-CN"/>
        </w:rPr>
        <w:t>(</w:t>
      </w:r>
      <w:r>
        <w:rPr>
          <w:rFonts w:hint="eastAsia"/>
          <w:lang w:bidi="zh-CN"/>
        </w:rPr>
        <w:t>变化量超过</w:t>
      </w:r>
      <w:r>
        <w:rPr>
          <w:lang w:bidi="zh-CN"/>
        </w:rPr>
        <w:t>30%</w:t>
      </w:r>
      <w:r>
        <w:rPr>
          <w:rFonts w:hint="eastAsia"/>
          <w:lang w:bidi="zh-CN"/>
        </w:rPr>
        <w:t>或达到中型规模以上的</w:t>
      </w:r>
      <w:r>
        <w:rPr>
          <w:lang w:bidi="zh-CN"/>
        </w:rPr>
        <w:t>)</w:t>
      </w:r>
      <w:r>
        <w:rPr>
          <w:rFonts w:hint="eastAsia"/>
          <w:lang w:bidi="zh-CN"/>
        </w:rPr>
        <w:t>以及建设项目压覆重要矿产，应当编制符合相关标准规范的矿产资源储量报告申请评审备案”，《辽宁省调兵山市泉眼沟矿区硅灰石矿补充勘探报告》资源量变化量为</w:t>
      </w:r>
      <w:r>
        <w:rPr>
          <w:lang w:bidi="zh-CN"/>
        </w:rPr>
        <w:t>7.8%</w:t>
      </w:r>
      <w:r>
        <w:rPr>
          <w:rFonts w:hint="eastAsia"/>
          <w:lang w:bidi="zh-CN"/>
        </w:rPr>
        <w:t>，无需备案。资源储量估算结果详见下表。</w:t>
      </w: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r>
        <w:rPr>
          <w:rFonts w:asciiTheme="minorEastAsia" w:hAnsiTheme="minorEastAsia" w:eastAsiaTheme="minorEastAsia"/>
          <w:b/>
          <w:sz w:val="28"/>
          <w:szCs w:val="28"/>
        </w:rPr>
        <w:t>表</w:t>
      </w:r>
      <w:r>
        <w:rPr>
          <w:rFonts w:hint="eastAsia" w:asciiTheme="minorEastAsia" w:hAnsiTheme="minorEastAsia" w:eastAsiaTheme="minorEastAsia"/>
          <w:b/>
          <w:sz w:val="28"/>
          <w:szCs w:val="28"/>
        </w:rPr>
        <w:t>2-1</w:t>
      </w:r>
      <w:r>
        <w:rPr>
          <w:rFonts w:asciiTheme="minorEastAsia" w:hAnsiTheme="minorEastAsia" w:eastAsiaTheme="minorEastAsia"/>
          <w:b/>
          <w:sz w:val="28"/>
          <w:szCs w:val="28"/>
        </w:rPr>
        <w:t xml:space="preserve"> 资源量估算结果表</w:t>
      </w:r>
    </w:p>
    <w:tbl>
      <w:tblPr>
        <w:tblStyle w:val="54"/>
        <w:tblW w:w="5000" w:type="pct"/>
        <w:jc w:val="center"/>
        <w:tblLayout w:type="fixed"/>
        <w:tblCellMar>
          <w:top w:w="0" w:type="dxa"/>
          <w:left w:w="108" w:type="dxa"/>
          <w:bottom w:w="0" w:type="dxa"/>
          <w:right w:w="108" w:type="dxa"/>
        </w:tblCellMar>
      </w:tblPr>
      <w:tblGrid>
        <w:gridCol w:w="1350"/>
        <w:gridCol w:w="2079"/>
        <w:gridCol w:w="1650"/>
        <w:gridCol w:w="1645"/>
        <w:gridCol w:w="1798"/>
      </w:tblGrid>
      <w:tr>
        <w:tblPrEx>
          <w:tblCellMar>
            <w:top w:w="0" w:type="dxa"/>
            <w:left w:w="108" w:type="dxa"/>
            <w:bottom w:w="0" w:type="dxa"/>
            <w:right w:w="108" w:type="dxa"/>
          </w:tblCellMar>
        </w:tblPrEx>
        <w:trPr>
          <w:trHeight w:val="397" w:hRule="exact"/>
          <w:tblHeader/>
          <w:jc w:val="center"/>
        </w:trPr>
        <w:tc>
          <w:tcPr>
            <w:tcW w:w="13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bookmarkStart w:id="161" w:name="OLE_LINK163"/>
            <w:bookmarkStart w:id="162" w:name="OLE_LINK162"/>
            <w:r>
              <w:rPr>
                <w:rFonts w:hint="eastAsia" w:cs="宋体" w:asciiTheme="minorEastAsia" w:hAnsiTheme="minorEastAsia" w:eastAsiaTheme="minorEastAsia"/>
                <w:kern w:val="0"/>
                <w:sz w:val="24"/>
              </w:rPr>
              <w:t>矿体号</w:t>
            </w:r>
          </w:p>
        </w:tc>
        <w:tc>
          <w:tcPr>
            <w:tcW w:w="207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资源储量类型</w:t>
            </w:r>
          </w:p>
        </w:tc>
        <w:tc>
          <w:tcPr>
            <w:tcW w:w="16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矿石量</w:t>
            </w:r>
            <w:r>
              <w:rPr>
                <w:rFonts w:hint="eastAsia" w:cs="宋体" w:asciiTheme="minorEastAsia" w:hAnsiTheme="minorEastAsia" w:eastAsiaTheme="minorEastAsia"/>
                <w:kern w:val="0"/>
                <w:sz w:val="24"/>
              </w:rPr>
              <w:t>(万</w:t>
            </w:r>
            <w:r>
              <w:rPr>
                <w:rFonts w:cs="宋体" w:asciiTheme="minorEastAsia" w:hAnsiTheme="minorEastAsia" w:eastAsiaTheme="minorEastAsia"/>
                <w:kern w:val="0"/>
                <w:sz w:val="24"/>
              </w:rPr>
              <w:t>t</w:t>
            </w:r>
            <w:r>
              <w:rPr>
                <w:rFonts w:hint="eastAsia" w:cs="宋体" w:asciiTheme="minorEastAsia" w:hAnsiTheme="minorEastAsia" w:eastAsiaTheme="minorEastAsia"/>
                <w:kern w:val="0"/>
                <w:sz w:val="24"/>
              </w:rPr>
              <w:t>)</w:t>
            </w:r>
          </w:p>
        </w:tc>
        <w:tc>
          <w:tcPr>
            <w:tcW w:w="16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含矿率(</w:t>
            </w:r>
            <w:r>
              <w:rPr>
                <w:rFonts w:cs="宋体" w:asciiTheme="minorEastAsia" w:hAnsiTheme="minorEastAsia" w:eastAsiaTheme="minorEastAsia"/>
                <w:kern w:val="0"/>
                <w:sz w:val="24"/>
              </w:rPr>
              <w:t>%</w:t>
            </w:r>
            <w:r>
              <w:rPr>
                <w:rFonts w:hint="eastAsia" w:cs="宋体" w:asciiTheme="minorEastAsia" w:hAnsiTheme="minorEastAsia" w:eastAsiaTheme="minorEastAsia"/>
                <w:kern w:val="0"/>
                <w:sz w:val="24"/>
              </w:rPr>
              <w:t>)</w:t>
            </w:r>
          </w:p>
        </w:tc>
        <w:tc>
          <w:tcPr>
            <w:tcW w:w="17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精矿量(</w:t>
            </w:r>
            <w:r>
              <w:rPr>
                <w:rFonts w:cs="宋体" w:asciiTheme="minorEastAsia" w:hAnsiTheme="minorEastAsia" w:eastAsiaTheme="minorEastAsia"/>
                <w:kern w:val="0"/>
                <w:sz w:val="24"/>
              </w:rPr>
              <w:t>万t</w:t>
            </w:r>
            <w:r>
              <w:rPr>
                <w:rFonts w:hint="eastAsia" w:cs="宋体" w:asciiTheme="minorEastAsia" w:hAnsiTheme="minorEastAsia" w:eastAsiaTheme="minorEastAsia"/>
                <w:kern w:val="0"/>
                <w:sz w:val="24"/>
              </w:rPr>
              <w:t>)</w:t>
            </w:r>
          </w:p>
        </w:tc>
      </w:tr>
      <w:tr>
        <w:tblPrEx>
          <w:tblCellMar>
            <w:top w:w="0" w:type="dxa"/>
            <w:left w:w="108" w:type="dxa"/>
            <w:bottom w:w="0" w:type="dxa"/>
            <w:right w:w="108" w:type="dxa"/>
          </w:tblCellMar>
        </w:tblPrEx>
        <w:trPr>
          <w:trHeight w:val="91" w:hRule="exact"/>
          <w:tblHeader/>
          <w:jc w:val="center"/>
        </w:trPr>
        <w:tc>
          <w:tcPr>
            <w:tcW w:w="13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16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16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179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r>
      <w:tr>
        <w:tblPrEx>
          <w:tblCellMar>
            <w:top w:w="0" w:type="dxa"/>
            <w:left w:w="108" w:type="dxa"/>
            <w:bottom w:w="0" w:type="dxa"/>
            <w:right w:w="108" w:type="dxa"/>
          </w:tblCellMar>
        </w:tblPrEx>
        <w:trPr>
          <w:trHeight w:val="397" w:hRule="exact"/>
          <w:jc w:val="center"/>
        </w:trPr>
        <w:tc>
          <w:tcPr>
            <w:tcW w:w="1350" w:type="dxa"/>
            <w:vMerge w:val="restart"/>
            <w:tcBorders>
              <w:top w:val="nil"/>
              <w:left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WoⅠ</w:t>
            </w:r>
          </w:p>
        </w:tc>
        <w:tc>
          <w:tcPr>
            <w:tcW w:w="2079"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TM</w:t>
            </w:r>
          </w:p>
        </w:tc>
        <w:tc>
          <w:tcPr>
            <w:tcW w:w="1650"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8.239</w:t>
            </w:r>
          </w:p>
        </w:tc>
        <w:tc>
          <w:tcPr>
            <w:tcW w:w="1645"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49</w:t>
            </w:r>
          </w:p>
        </w:tc>
        <w:tc>
          <w:tcPr>
            <w:tcW w:w="1798"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4.037</w:t>
            </w:r>
          </w:p>
        </w:tc>
      </w:tr>
      <w:tr>
        <w:tblPrEx>
          <w:tblCellMar>
            <w:top w:w="0" w:type="dxa"/>
            <w:left w:w="108" w:type="dxa"/>
            <w:bottom w:w="0" w:type="dxa"/>
            <w:right w:w="108" w:type="dxa"/>
          </w:tblCellMar>
        </w:tblPrEx>
        <w:trPr>
          <w:trHeight w:val="397" w:hRule="exact"/>
          <w:jc w:val="center"/>
        </w:trPr>
        <w:tc>
          <w:tcPr>
            <w:tcW w:w="1350" w:type="dxa"/>
            <w:vMerge w:val="continue"/>
            <w:tcBorders>
              <w:left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tcBorders>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KZ</w:t>
            </w:r>
          </w:p>
        </w:tc>
        <w:tc>
          <w:tcPr>
            <w:tcW w:w="1650"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18.773</w:t>
            </w:r>
          </w:p>
        </w:tc>
        <w:tc>
          <w:tcPr>
            <w:tcW w:w="1645"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76</w:t>
            </w:r>
          </w:p>
        </w:tc>
        <w:tc>
          <w:tcPr>
            <w:tcW w:w="179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10.268</w:t>
            </w:r>
          </w:p>
        </w:tc>
      </w:tr>
      <w:tr>
        <w:tblPrEx>
          <w:tblCellMar>
            <w:top w:w="0" w:type="dxa"/>
            <w:left w:w="108" w:type="dxa"/>
            <w:bottom w:w="0" w:type="dxa"/>
            <w:right w:w="108" w:type="dxa"/>
          </w:tblCellMar>
        </w:tblPrEx>
        <w:trPr>
          <w:trHeight w:val="397" w:hRule="exact"/>
          <w:jc w:val="center"/>
        </w:trPr>
        <w:tc>
          <w:tcPr>
            <w:tcW w:w="1350" w:type="dxa"/>
            <w:vMerge w:val="continue"/>
            <w:tcBorders>
              <w:left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TD</w:t>
            </w:r>
          </w:p>
        </w:tc>
        <w:tc>
          <w:tcPr>
            <w:tcW w:w="16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21.236</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55</w:t>
            </w:r>
          </w:p>
        </w:tc>
        <w:tc>
          <w:tcPr>
            <w:tcW w:w="179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11.581</w:t>
            </w:r>
          </w:p>
        </w:tc>
      </w:tr>
      <w:tr>
        <w:tblPrEx>
          <w:tblCellMar>
            <w:top w:w="0" w:type="dxa"/>
            <w:left w:w="108" w:type="dxa"/>
            <w:bottom w:w="0" w:type="dxa"/>
            <w:right w:w="108" w:type="dxa"/>
          </w:tblCellMar>
        </w:tblPrEx>
        <w:trPr>
          <w:trHeight w:val="397" w:hRule="exact"/>
          <w:jc w:val="center"/>
        </w:trPr>
        <w:tc>
          <w:tcPr>
            <w:tcW w:w="1350"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合计</w:t>
            </w:r>
          </w:p>
        </w:tc>
        <w:tc>
          <w:tcPr>
            <w:tcW w:w="16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48.248</w:t>
            </w:r>
          </w:p>
        </w:tc>
        <w:tc>
          <w:tcPr>
            <w:tcW w:w="1645" w:type="dxa"/>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54</w:t>
            </w:r>
          </w:p>
        </w:tc>
        <w:tc>
          <w:tcPr>
            <w:tcW w:w="1798" w:type="dxa"/>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25.886</w:t>
            </w:r>
          </w:p>
        </w:tc>
      </w:tr>
      <w:bookmarkEnd w:id="161"/>
      <w:bookmarkEnd w:id="162"/>
    </w:tbl>
    <w:p>
      <w:pPr>
        <w:widowControl/>
        <w:jc w:val="left"/>
        <w:rPr>
          <w:rFonts w:ascii="仿宋_GB2312" w:eastAsia="仿宋_GB2312"/>
          <w:sz w:val="28"/>
          <w:szCs w:val="28"/>
        </w:rPr>
      </w:pPr>
      <w:r>
        <w:rPr>
          <w:rFonts w:ascii="仿宋_GB2312" w:eastAsia="仿宋_GB2312"/>
          <w:sz w:val="28"/>
          <w:szCs w:val="28"/>
        </w:rPr>
        <w:br w:type="page"/>
      </w:r>
    </w:p>
    <w:p>
      <w:pPr>
        <w:pStyle w:val="3"/>
        <w:jc w:val="center"/>
      </w:pPr>
      <w:bookmarkStart w:id="163" w:name="_Toc187151551"/>
      <w:bookmarkStart w:id="164" w:name="_Toc167307742"/>
      <w:bookmarkStart w:id="165" w:name="_Toc188453621"/>
      <w:r>
        <w:rPr>
          <w:rFonts w:hint="eastAsia"/>
        </w:rPr>
        <w:t>三、矿区范围</w:t>
      </w:r>
      <w:bookmarkEnd w:id="163"/>
      <w:bookmarkEnd w:id="164"/>
      <w:bookmarkEnd w:id="165"/>
    </w:p>
    <w:p>
      <w:pPr>
        <w:pStyle w:val="467"/>
        <w:ind w:left="0" w:firstLine="602" w:firstLineChars="200"/>
      </w:pPr>
      <w:bookmarkStart w:id="166" w:name="_Toc167307743"/>
      <w:bookmarkStart w:id="167" w:name="_Toc187151552"/>
      <w:bookmarkStart w:id="168" w:name="_Toc188453622"/>
      <w:r>
        <w:rPr>
          <w:rFonts w:hint="eastAsia"/>
        </w:rPr>
        <w:t>（一）符合矿产资源规划情况</w:t>
      </w:r>
      <w:bookmarkEnd w:id="166"/>
      <w:bookmarkEnd w:id="167"/>
      <w:bookmarkEnd w:id="168"/>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1.矿产资源规划</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铁岭</w:t>
      </w:r>
      <w:r>
        <w:rPr>
          <w:rFonts w:asciiTheme="minorEastAsia" w:hAnsiTheme="minorEastAsia" w:eastAsiaTheme="minorEastAsia"/>
          <w:sz w:val="28"/>
          <w:szCs w:val="28"/>
        </w:rPr>
        <w:t>市矿产资源总体规划</w:t>
      </w:r>
      <w:r>
        <w:rPr>
          <w:rFonts w:hint="eastAsia" w:asciiTheme="minorEastAsia" w:hAnsiTheme="minorEastAsia" w:eastAsiaTheme="minorEastAsia"/>
          <w:sz w:val="28"/>
          <w:szCs w:val="28"/>
        </w:rPr>
        <w:t>(</w:t>
      </w:r>
      <w:r>
        <w:rPr>
          <w:rFonts w:asciiTheme="minorEastAsia" w:hAnsiTheme="minorEastAsia" w:eastAsiaTheme="minorEastAsia"/>
          <w:sz w:val="28"/>
          <w:szCs w:val="28"/>
        </w:rPr>
        <w:t>2021年-2025年</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p>
    <w:p>
      <w:pPr>
        <w:pStyle w:val="98"/>
        <w:ind w:firstLine="560"/>
        <w:rPr>
          <w:lang w:bidi="zh-CN"/>
        </w:rPr>
      </w:pPr>
      <w:r>
        <w:rPr>
          <w:lang w:bidi="zh-CN"/>
        </w:rPr>
        <w:t>2023年</w:t>
      </w:r>
      <w:r>
        <w:rPr>
          <w:rFonts w:hint="eastAsia"/>
          <w:lang w:bidi="zh-CN"/>
        </w:rPr>
        <w:t>1</w:t>
      </w:r>
      <w:r>
        <w:rPr>
          <w:lang w:bidi="zh-CN"/>
        </w:rPr>
        <w:t>月，经辽宁省自然资源厅批准，</w:t>
      </w:r>
      <w:r>
        <w:rPr>
          <w:rFonts w:hint="eastAsia"/>
          <w:lang w:bidi="zh-CN"/>
        </w:rPr>
        <w:t>铁岭市</w:t>
      </w:r>
      <w:r>
        <w:rPr>
          <w:lang w:bidi="zh-CN"/>
        </w:rPr>
        <w:t>人民政府发布了《</w:t>
      </w:r>
      <w:r>
        <w:rPr>
          <w:rFonts w:hint="eastAsia"/>
          <w:lang w:bidi="zh-CN"/>
        </w:rPr>
        <w:t>铁岭</w:t>
      </w:r>
      <w:r>
        <w:rPr>
          <w:lang w:bidi="zh-CN"/>
        </w:rPr>
        <w:t>市矿产资源总体规划</w:t>
      </w:r>
      <w:r>
        <w:rPr>
          <w:rFonts w:hint="eastAsia"/>
          <w:lang w:bidi="zh-CN"/>
        </w:rPr>
        <w:t>(</w:t>
      </w:r>
      <w:r>
        <w:rPr>
          <w:lang w:bidi="zh-CN"/>
        </w:rPr>
        <w:t>2021-2025年</w:t>
      </w:r>
      <w:r>
        <w:rPr>
          <w:rFonts w:hint="eastAsia"/>
          <w:lang w:bidi="zh-CN"/>
        </w:rPr>
        <w:t>)</w:t>
      </w:r>
      <w:r>
        <w:rPr>
          <w:lang w:bidi="zh-CN"/>
        </w:rPr>
        <w:t>》，《规划》中指出：</w:t>
      </w:r>
      <w:r>
        <w:rPr>
          <w:rFonts w:hint="eastAsia"/>
          <w:lang w:bidi="zh-CN"/>
        </w:rPr>
        <w:t>“</w:t>
      </w:r>
      <w:r>
        <w:rPr>
          <w:lang w:bidi="zh-CN"/>
        </w:rPr>
        <w:t>重点开采煤炭、煤层气、铁矿、水泥原料、硅灰石等矿产。</w:t>
      </w:r>
      <w:r>
        <w:rPr>
          <w:rFonts w:hint="eastAsia"/>
          <w:lang w:bidi="zh-CN"/>
        </w:rPr>
        <w:t>”</w:t>
      </w:r>
    </w:p>
    <w:p>
      <w:pPr>
        <w:pStyle w:val="98"/>
        <w:ind w:firstLine="562"/>
        <w:rPr>
          <w:b/>
          <w:lang w:bidi="zh-CN"/>
        </w:rPr>
      </w:pPr>
      <w:r>
        <w:rPr>
          <w:b/>
          <w:lang w:bidi="zh-CN"/>
        </w:rPr>
        <w:t>本项目为</w:t>
      </w:r>
      <w:r>
        <w:rPr>
          <w:rFonts w:hint="eastAsia"/>
          <w:b/>
          <w:lang w:bidi="zh-CN"/>
        </w:rPr>
        <w:t>硅灰石矿石开采</w:t>
      </w:r>
      <w:r>
        <w:rPr>
          <w:b/>
          <w:lang w:bidi="zh-CN"/>
        </w:rPr>
        <w:t>项目，不属于限制开采和禁止开采的项目，符合《</w:t>
      </w:r>
      <w:r>
        <w:rPr>
          <w:rFonts w:hint="eastAsia"/>
          <w:b/>
          <w:lang w:bidi="zh-CN"/>
        </w:rPr>
        <w:t>铁岭市</w:t>
      </w:r>
      <w:r>
        <w:rPr>
          <w:b/>
          <w:lang w:bidi="zh-CN"/>
        </w:rPr>
        <w:t>矿产资源总体规划</w:t>
      </w:r>
      <w:r>
        <w:rPr>
          <w:rFonts w:hint="eastAsia"/>
          <w:b/>
          <w:lang w:bidi="zh-CN"/>
        </w:rPr>
        <w:t>(</w:t>
      </w:r>
      <w:r>
        <w:rPr>
          <w:b/>
          <w:lang w:bidi="zh-CN"/>
        </w:rPr>
        <w:t>2021-2025年</w:t>
      </w:r>
      <w:r>
        <w:rPr>
          <w:rFonts w:hint="eastAsia"/>
          <w:b/>
          <w:lang w:bidi="zh-CN"/>
        </w:rPr>
        <w:t>)</w:t>
      </w:r>
      <w:r>
        <w:rPr>
          <w:b/>
          <w:lang w:bidi="zh-CN"/>
        </w:rPr>
        <w:t>》的要求。</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2.合规性和可行性论证</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rPr>
        <w:t>) 合规性论证</w:t>
      </w:r>
    </w:p>
    <w:p>
      <w:pPr>
        <w:pStyle w:val="98"/>
        <w:ind w:firstLine="560"/>
        <w:rPr>
          <w:lang w:bidi="zh-CN"/>
        </w:rPr>
      </w:pPr>
      <w:r>
        <w:rPr>
          <w:lang w:bidi="zh-CN"/>
        </w:rPr>
        <w:t>根据采矿许可证</w:t>
      </w:r>
      <w:r>
        <w:rPr>
          <w:rFonts w:hint="eastAsia"/>
          <w:lang w:bidi="zh-CN"/>
        </w:rPr>
        <w:t>(</w:t>
      </w:r>
      <w:r>
        <w:rPr>
          <w:lang w:bidi="zh-CN"/>
        </w:rPr>
        <w:t>证号：</w:t>
      </w:r>
      <w:r>
        <w:rPr>
          <w:rFonts w:hint="eastAsia"/>
          <w:lang w:bidi="zh-CN"/>
        </w:rPr>
        <w:t>2112002009047120014013)</w:t>
      </w:r>
      <w:r>
        <w:rPr>
          <w:lang w:bidi="zh-CN"/>
        </w:rPr>
        <w:t>，有效期限：壹</w:t>
      </w:r>
      <w:r>
        <w:rPr>
          <w:rFonts w:hint="eastAsia"/>
          <w:lang w:bidi="zh-CN"/>
        </w:rPr>
        <w:t>零</w:t>
      </w:r>
      <w:r>
        <w:rPr>
          <w:lang w:bidi="zh-CN"/>
        </w:rPr>
        <w:t>年；自201</w:t>
      </w:r>
      <w:r>
        <w:rPr>
          <w:rFonts w:hint="eastAsia"/>
          <w:lang w:bidi="zh-CN"/>
        </w:rPr>
        <w:t>9</w:t>
      </w:r>
      <w:r>
        <w:rPr>
          <w:lang w:bidi="zh-CN"/>
        </w:rPr>
        <w:t>年</w:t>
      </w:r>
      <w:r>
        <w:rPr>
          <w:rFonts w:hint="eastAsia"/>
          <w:lang w:bidi="zh-CN"/>
        </w:rPr>
        <w:t>6</w:t>
      </w:r>
      <w:r>
        <w:rPr>
          <w:lang w:bidi="zh-CN"/>
        </w:rPr>
        <w:t>月</w:t>
      </w:r>
      <w:r>
        <w:rPr>
          <w:rFonts w:hint="eastAsia"/>
          <w:lang w:bidi="zh-CN"/>
        </w:rPr>
        <w:t>1</w:t>
      </w:r>
      <w:r>
        <w:rPr>
          <w:lang w:bidi="zh-CN"/>
        </w:rPr>
        <w:t>日至20</w:t>
      </w:r>
      <w:r>
        <w:rPr>
          <w:rFonts w:hint="eastAsia"/>
          <w:lang w:bidi="zh-CN"/>
        </w:rPr>
        <w:t>29</w:t>
      </w:r>
      <w:r>
        <w:rPr>
          <w:lang w:bidi="zh-CN"/>
        </w:rPr>
        <w:t>年</w:t>
      </w:r>
      <w:r>
        <w:rPr>
          <w:rFonts w:hint="eastAsia"/>
          <w:lang w:bidi="zh-CN"/>
        </w:rPr>
        <w:t>6</w:t>
      </w:r>
      <w:r>
        <w:rPr>
          <w:lang w:bidi="zh-CN"/>
        </w:rPr>
        <w:t>月</w:t>
      </w:r>
      <w:r>
        <w:rPr>
          <w:rFonts w:hint="eastAsia"/>
          <w:lang w:bidi="zh-CN"/>
        </w:rPr>
        <w:t>1</w:t>
      </w:r>
      <w:r>
        <w:rPr>
          <w:lang w:bidi="zh-CN"/>
        </w:rPr>
        <w:t>日。现采矿许可证在有效期内。</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 法律法规依据</w:t>
      </w:r>
    </w:p>
    <w:p>
      <w:pPr>
        <w:pStyle w:val="98"/>
        <w:ind w:firstLine="560"/>
        <w:rPr>
          <w:lang w:bidi="zh-CN"/>
        </w:rPr>
      </w:pPr>
      <w:r>
        <w:rPr>
          <w:rFonts w:hint="eastAsia"/>
          <w:lang w:bidi="zh-CN"/>
        </w:rPr>
        <w:t>根据辽宁省自然资源厅《关于商请处置非煤矿山安全设施设计与矿产资源开发利用方案不一致情形的复函》（辽自然资函[2024]649号），“开采矿产资源范围、开拓方式、井巷工程设施分布范围、采矿方法”与开发利用方案不一致的情形，矿业权人应重新编制开发利用方案。</w:t>
      </w:r>
    </w:p>
    <w:p>
      <w:pPr>
        <w:pStyle w:val="98"/>
        <w:ind w:firstLine="560"/>
        <w:rPr>
          <w:lang w:bidi="zh-CN"/>
        </w:rPr>
      </w:pPr>
      <w:r>
        <w:rPr>
          <w:rFonts w:hint="eastAsia"/>
          <w:lang w:bidi="zh-CN"/>
        </w:rPr>
        <w:t>本次开发利用方案编制目的为修编(变更井口位置、改变开拓方式、开采矿产资源范围、采矿方法)，调兵山市硅灰石井巷矿委托我单位重新</w:t>
      </w:r>
      <w:r>
        <w:rPr>
          <w:lang w:bidi="zh-CN"/>
        </w:rPr>
        <w:t>编制矿产资源开发利用方案</w:t>
      </w:r>
      <w:r>
        <w:rPr>
          <w:rFonts w:hint="eastAsia"/>
          <w:lang w:bidi="zh-CN"/>
        </w:rPr>
        <w:t>。</w:t>
      </w:r>
    </w:p>
    <w:p>
      <w:pPr>
        <w:pStyle w:val="467"/>
        <w:ind w:left="0" w:firstLine="602" w:firstLineChars="200"/>
      </w:pPr>
      <w:bookmarkStart w:id="169" w:name="_Toc187151553"/>
      <w:bookmarkStart w:id="170" w:name="_Toc167307744"/>
      <w:bookmarkStart w:id="171" w:name="_Toc188453623"/>
      <w:r>
        <w:rPr>
          <w:rFonts w:hint="eastAsia"/>
        </w:rPr>
        <w:t>（二）可供开采矿产资源的范围</w:t>
      </w:r>
      <w:bookmarkEnd w:id="169"/>
      <w:bookmarkEnd w:id="170"/>
      <w:bookmarkEnd w:id="171"/>
    </w:p>
    <w:p>
      <w:pPr>
        <w:pStyle w:val="98"/>
        <w:ind w:firstLine="560"/>
      </w:pPr>
      <w:bookmarkStart w:id="172" w:name="_Toc167307745"/>
      <w:r>
        <w:t>2024</w:t>
      </w:r>
      <w:r>
        <w:rPr>
          <w:rFonts w:hint="eastAsia"/>
        </w:rPr>
        <w:t>年</w:t>
      </w:r>
      <w:r>
        <w:t>11</w:t>
      </w:r>
      <w:r>
        <w:rPr>
          <w:rFonts w:hint="eastAsia"/>
        </w:rPr>
        <w:t>月，企业在已有的核实工作基础上进一步查明矿区地质资料，重新提交了《辽宁省调兵山市泉眼沟矿区硅灰石矿补充勘探报告》，该报告于</w:t>
      </w:r>
      <w:r>
        <w:t>2024</w:t>
      </w:r>
      <w:r>
        <w:rPr>
          <w:rFonts w:hint="eastAsia"/>
        </w:rPr>
        <w:t>年</w:t>
      </w:r>
      <w:r>
        <w:t>11</w:t>
      </w:r>
      <w:r>
        <w:rPr>
          <w:rFonts w:hint="eastAsia"/>
        </w:rPr>
        <w:t>月通过了专家审查，取得了专家审查意见书。矿床地质资料勘查程度达到勘探要求。</w:t>
      </w:r>
    </w:p>
    <w:p>
      <w:pPr>
        <w:pStyle w:val="98"/>
        <w:ind w:firstLine="560"/>
        <w:rPr>
          <w:b/>
          <w:kern w:val="0"/>
        </w:rPr>
      </w:pPr>
      <w:r>
        <w:rPr>
          <w:rFonts w:hint="eastAsia"/>
        </w:rPr>
        <w:t>本次工作资源储量估算矿种为硅灰石矿，估算矿体为</w:t>
      </w:r>
      <w:r>
        <w:t>Wo</w:t>
      </w:r>
      <w:r>
        <w:rPr>
          <w:rFonts w:hint="eastAsia"/>
        </w:rPr>
        <w:t>Ⅰ号矿体，估算平面范围为：调兵山市硅灰石井巷矿采矿许可证范围；资源储量估算标高为：</w:t>
      </w:r>
      <w:r>
        <w:t>105m</w:t>
      </w:r>
      <w:r>
        <w:rPr>
          <w:rFonts w:hint="eastAsia"/>
        </w:rPr>
        <w:t>～</w:t>
      </w:r>
      <w:r>
        <w:t>40m</w:t>
      </w:r>
      <w:r>
        <w:rPr>
          <w:rFonts w:hint="eastAsia"/>
        </w:rPr>
        <w:t>；资源储量估算对象为：调兵山市硅灰石井巷矿采矿许可证范围内圈定的</w:t>
      </w:r>
      <w:r>
        <w:t>1</w:t>
      </w:r>
      <w:r>
        <w:rPr>
          <w:rFonts w:hint="eastAsia"/>
        </w:rPr>
        <w:t>条硅灰石矿体。</w:t>
      </w:r>
    </w:p>
    <w:p>
      <w:pPr>
        <w:pStyle w:val="467"/>
        <w:ind w:left="0" w:firstLine="602" w:firstLineChars="200"/>
      </w:pPr>
      <w:bookmarkStart w:id="173" w:name="_Toc188453624"/>
      <w:bookmarkStart w:id="174" w:name="_Toc187151554"/>
      <w:r>
        <w:rPr>
          <w:rFonts w:hint="eastAsia"/>
        </w:rPr>
        <w:t>（三）井巷工程设施分布范围</w:t>
      </w:r>
      <w:bookmarkEnd w:id="172"/>
      <w:bookmarkEnd w:id="173"/>
      <w:bookmarkEnd w:id="174"/>
    </w:p>
    <w:p>
      <w:pPr>
        <w:pStyle w:val="6"/>
        <w:ind w:firstLine="562" w:firstLineChars="200"/>
        <w:rPr>
          <w:rFonts w:hint="default"/>
        </w:rPr>
      </w:pPr>
      <w:r>
        <w:t>1.井巷工程设施分布范围的合规性</w:t>
      </w:r>
    </w:p>
    <w:p>
      <w:pPr>
        <w:pStyle w:val="98"/>
        <w:ind w:firstLine="560"/>
      </w:pPr>
      <w:r>
        <w:rPr>
          <w:rFonts w:hint="eastAsia"/>
        </w:rPr>
        <w:t>调兵山市硅灰石井巷矿始建于1983年，属于镇办集体企业。现已取得《采矿许可证》（C2112002009047120014013），矿山现有三条斜井及部分井巷工程均位于矿区范围内，井下采空区均根据2023年12月</w:t>
      </w:r>
      <w:r>
        <w:rPr>
          <w:rFonts w:hint="eastAsia"/>
          <w:lang w:bidi="zh-CN"/>
        </w:rPr>
        <w:t>兰州有色冶金设计研究院有限公司沈阳分公司编制的《</w:t>
      </w:r>
      <w:r>
        <w:rPr>
          <w:rFonts w:hint="eastAsia"/>
          <w:bCs/>
        </w:rPr>
        <w:t>调兵山市硅灰石井巷矿(二采区)非煤地下</w:t>
      </w:r>
      <w:r>
        <w:rPr>
          <w:rFonts w:hint="eastAsia"/>
          <w:lang w:bidi="zh-CN"/>
        </w:rPr>
        <w:t>矿山隐蔽致灾因素普查治理报告》中的采空区治理方案治理。</w:t>
      </w:r>
    </w:p>
    <w:p>
      <w:pPr>
        <w:pStyle w:val="98"/>
        <w:ind w:firstLine="560"/>
      </w:pPr>
      <w:r>
        <w:rPr>
          <w:rFonts w:hint="eastAsia"/>
        </w:rPr>
        <w:t>矿山所有拟设开采工程均在采矿权范围之内，与周边无矿业权重叠现象。采用一次性总体设计。设计开采范围为40m以上（含40m）矿体，服务年限18年（含基建期），采用斜坡道开拓，斜井回风。为一套地采开拓系统。</w:t>
      </w:r>
    </w:p>
    <w:p>
      <w:pPr>
        <w:pStyle w:val="98"/>
        <w:ind w:firstLine="560"/>
      </w:pPr>
      <w:r>
        <w:rPr>
          <w:rFonts w:hint="eastAsia"/>
        </w:rPr>
        <w:t>设计井巷工程设施分布平面范围、深部范围（40m以上）全部位于矿业权范围之内，本次方案设计工程范围因为开拓方式发生变化，符合《关于商请处置非煤矿山安全设施设计与矿产资源开采利用方案不一致情形的复函》（辽自然资函〔2024〕649号）相关要求。</w:t>
      </w:r>
    </w:p>
    <w:p>
      <w:pPr>
        <w:pStyle w:val="98"/>
        <w:ind w:firstLine="560"/>
      </w:pPr>
      <w:r>
        <w:rPr>
          <w:rFonts w:hint="eastAsia"/>
        </w:rPr>
        <w:t>综上所述，调兵山市硅灰石井巷矿井巷工程设施分布范围具备合规性。</w:t>
      </w:r>
    </w:p>
    <w:p>
      <w:pPr>
        <w:pStyle w:val="6"/>
        <w:ind w:firstLine="562" w:firstLineChars="200"/>
        <w:rPr>
          <w:rFonts w:hint="default"/>
        </w:rPr>
      </w:pPr>
      <w:r>
        <w:t>2.井巷工程设施分布范围的科学合理性</w:t>
      </w:r>
    </w:p>
    <w:p>
      <w:pPr>
        <w:pStyle w:val="98"/>
        <w:ind w:firstLine="560"/>
      </w:pPr>
      <w:r>
        <w:rPr>
          <w:rFonts w:hint="eastAsia"/>
        </w:rPr>
        <w:t>该矿山原采用斜井开拓，因矿山为恢复生产，按现行相关政策要求重新编制设计，以满足矿山安全生产需要，矿山无法设计、施工，需调整开拓系统。</w:t>
      </w:r>
    </w:p>
    <w:p>
      <w:pPr>
        <w:pStyle w:val="98"/>
        <w:ind w:firstLine="560"/>
      </w:pPr>
      <w:r>
        <w:rPr>
          <w:rFonts w:hint="eastAsia"/>
        </w:rPr>
        <w:t>因矿体赋存标高较浅，提升高度为95m，调整后矿山采用斜坡道开拓，斜坡道开拓可以充分发挥无轨设备的优点，斜坡道掘进出碴和其他开拓巷道的出碴相较于竖井开拓更为便捷，可以加快矿体的开拓工作，提早了矿山的投产时间，井下设备调运更加方便，且成本更加低廉。</w:t>
      </w:r>
    </w:p>
    <w:p>
      <w:pPr>
        <w:pStyle w:val="98"/>
        <w:ind w:firstLine="560"/>
        <w:rPr>
          <w:rFonts w:hAnsi="宋体"/>
        </w:rPr>
      </w:pPr>
      <w:r>
        <w:rPr>
          <w:rFonts w:hint="eastAsia" w:hAnsi="宋体"/>
        </w:rPr>
        <w:t>本次设计斜坡道位于矿体下盘，斜坡道靠近主开采矿体，降低井下矿、岩运输成本，井口位于地表岩石移动监测范围20m以外，矿山井下开采不会影响到斜坡道的安全。</w:t>
      </w:r>
    </w:p>
    <w:p>
      <w:pPr>
        <w:pStyle w:val="98"/>
        <w:ind w:firstLine="560"/>
        <w:rPr>
          <w:rFonts w:hAnsi="宋体"/>
        </w:rPr>
      </w:pPr>
      <w:r>
        <w:rPr>
          <w:rFonts w:hint="eastAsia" w:hAnsi="宋体"/>
        </w:rPr>
        <w:t>矿体下盘设计利用现有斜井作为回风斜井，</w:t>
      </w:r>
      <w:bookmarkStart w:id="175" w:name="OLE_LINK196"/>
      <w:bookmarkStart w:id="176" w:name="OLE_LINK195"/>
      <w:r>
        <w:rPr>
          <w:rFonts w:hint="eastAsia" w:hAnsi="宋体"/>
        </w:rPr>
        <w:t>回风斜井</w:t>
      </w:r>
      <w:bookmarkEnd w:id="175"/>
      <w:bookmarkEnd w:id="176"/>
      <w:r>
        <w:rPr>
          <w:rFonts w:hint="eastAsia" w:hAnsi="宋体"/>
        </w:rPr>
        <w:t>井口位于设计地表岩石移动监测范围20m外，矿山井下开采不会影响到回风斜井的安全，矿山通过斜坡道入风、回风斜井回风，可以保证各矿体开采时井下新鲜的风流，保证矿山开采时各中段均有两个通往地表的安全出口，矿体一翼走向长度不超过</w:t>
      </w:r>
      <w:r>
        <w:rPr>
          <w:rFonts w:hAnsi="宋体"/>
        </w:rPr>
        <w:t>1000m</w:t>
      </w:r>
      <w:r>
        <w:rPr>
          <w:rFonts w:hint="eastAsia" w:hAnsi="宋体"/>
        </w:rPr>
        <w:t>，</w:t>
      </w:r>
      <w:r>
        <w:rPr>
          <w:rFonts w:hAnsi="宋体"/>
        </w:rPr>
        <w:t>符合《金属非金属矿山安全规程》（GB</w:t>
      </w:r>
      <w:r>
        <w:rPr>
          <w:rFonts w:hint="eastAsia" w:hAnsi="宋体"/>
        </w:rPr>
        <w:t xml:space="preserve"> 16423-2020</w:t>
      </w:r>
      <w:r>
        <w:rPr>
          <w:rFonts w:hAnsi="宋体"/>
        </w:rPr>
        <w:t>）的要求。</w:t>
      </w:r>
    </w:p>
    <w:p>
      <w:pPr>
        <w:pStyle w:val="98"/>
        <w:ind w:firstLine="560"/>
        <w:sectPr>
          <w:headerReference r:id="rId9" w:type="default"/>
          <w:footerReference r:id="rId10" w:type="default"/>
          <w:pgSz w:w="11906" w:h="16838"/>
          <w:pgMar w:top="1440" w:right="1800" w:bottom="1440" w:left="1800" w:header="851" w:footer="782" w:gutter="0"/>
          <w:cols w:space="425" w:num="1"/>
          <w:docGrid w:type="lines" w:linePitch="312" w:charSpace="0"/>
        </w:sectPr>
      </w:pPr>
      <w:r>
        <w:rPr>
          <w:rFonts w:hint="eastAsia"/>
        </w:rPr>
        <w:t>综上所述，调兵山市硅灰石井巷矿井巷工程设施分布范围技术可行，安全可靠，具备科学合理性。</w:t>
      </w:r>
    </w:p>
    <w:p>
      <w:pPr>
        <w:pStyle w:val="98"/>
        <w:ind w:firstLine="560"/>
        <w:rPr>
          <w:kern w:val="0"/>
          <w:sz w:val="24"/>
        </w:rPr>
      </w:pPr>
      <w:r>
        <w:drawing>
          <wp:anchor distT="0" distB="0" distL="114300" distR="114300" simplePos="0" relativeHeight="251807744" behindDoc="1" locked="0" layoutInCell="1" allowOverlap="1">
            <wp:simplePos x="0" y="0"/>
            <wp:positionH relativeFrom="column">
              <wp:posOffset>-651510</wp:posOffset>
            </wp:positionH>
            <wp:positionV relativeFrom="paragraph">
              <wp:posOffset>108585</wp:posOffset>
            </wp:positionV>
            <wp:extent cx="6737985" cy="6223635"/>
            <wp:effectExtent l="0" t="0" r="6350" b="6350"/>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3">
                      <a:extLst>
                        <a:ext uri="{28A0092B-C50C-407E-A947-70E740481C1C}">
                          <a14:useLocalDpi xmlns:a14="http://schemas.microsoft.com/office/drawing/2010/main" val="false"/>
                        </a:ext>
                      </a:extLst>
                    </a:blip>
                    <a:stretch>
                      <a:fillRect/>
                    </a:stretch>
                  </pic:blipFill>
                  <pic:spPr>
                    <a:xfrm>
                      <a:off x="0" y="0"/>
                      <a:ext cx="6749376" cy="6234194"/>
                    </a:xfrm>
                    <a:prstGeom prst="rect">
                      <a:avLst/>
                    </a:prstGeom>
                  </pic:spPr>
                </pic:pic>
              </a:graphicData>
            </a:graphic>
          </wp:anchor>
        </w:drawing>
      </w: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sectPr>
          <w:headerReference r:id="rId11" w:type="default"/>
          <w:pgSz w:w="11906" w:h="16838"/>
          <w:pgMar w:top="1440" w:right="1800" w:bottom="1440" w:left="1800" w:header="851" w:footer="782" w:gutter="0"/>
          <w:cols w:space="425" w:num="1"/>
          <w:docGrid w:type="lines" w:linePitch="312" w:charSpace="0"/>
        </w:sectPr>
      </w:pPr>
      <w:r>
        <w:rPr>
          <w:rFonts w:hint="eastAsia"/>
          <w:kern w:val="0"/>
          <w:sz w:val="24"/>
        </w:rPr>
        <w:t>图3-2 井巷工程平面分布示意图</w:t>
      </w:r>
    </w:p>
    <w:p>
      <w:pPr>
        <w:pStyle w:val="467"/>
      </w:pPr>
      <w:bookmarkStart w:id="177" w:name="_Toc188453625"/>
      <w:bookmarkStart w:id="178" w:name="_Toc167307746"/>
      <w:bookmarkStart w:id="179" w:name="_Toc187151555"/>
      <w:r>
        <w:rPr>
          <w:rFonts w:hint="eastAsia"/>
        </w:rPr>
        <w:t>（四）与相关禁限区的重叠情况</w:t>
      </w:r>
      <w:bookmarkEnd w:id="177"/>
      <w:bookmarkEnd w:id="178"/>
      <w:bookmarkEnd w:id="179"/>
    </w:p>
    <w:p>
      <w:pPr>
        <w:pStyle w:val="98"/>
        <w:ind w:firstLine="560"/>
      </w:pPr>
      <w:r>
        <w:rPr>
          <w:rFonts w:hint="eastAsia"/>
        </w:rPr>
        <w:t>1.采矿权矿区范围不涉及《矿产资源法》第二十条规定不得开采矿产资源的地区，不涉及港口、机场、国防工程设施圈定地区以内；不涉及重要工业区、大型水利工程设施、城镇市政工程设施附近一定距离以内；不涉及铁路、重要公路两侧一定距离以内；不涉及重要河流、堤坝两侧一定距离以内；不涉及国家划定的自然保护区、重要风景区，国家重点保护的不能移动的历史文物和名胜古迹所在地以及国家规定不得开采矿产资源的其他地区。</w:t>
      </w:r>
    </w:p>
    <w:p>
      <w:pPr>
        <w:pStyle w:val="467"/>
      </w:pPr>
      <w:bookmarkStart w:id="180" w:name="_Toc187151556"/>
      <w:bookmarkStart w:id="181" w:name="_Toc167307747"/>
      <w:bookmarkStart w:id="182" w:name="_Toc188453626"/>
      <w:r>
        <w:rPr>
          <w:rFonts w:hint="eastAsia"/>
        </w:rPr>
        <w:t>（五）采矿权矿区范围</w:t>
      </w:r>
      <w:bookmarkEnd w:id="180"/>
      <w:bookmarkEnd w:id="181"/>
      <w:bookmarkEnd w:id="182"/>
    </w:p>
    <w:p>
      <w:pPr>
        <w:pStyle w:val="98"/>
        <w:ind w:firstLine="560"/>
      </w:pPr>
      <w:r>
        <w:rPr>
          <w:rFonts w:hint="eastAsia"/>
        </w:rPr>
        <w:t>2019年10月，调兵山市硅灰石井巷矿取得铁岭市自然资源厅颁发采矿许可证</w:t>
      </w:r>
      <w:r>
        <w:t>。</w:t>
      </w:r>
    </w:p>
    <w:p>
      <w:pPr>
        <w:pStyle w:val="98"/>
        <w:ind w:firstLine="560"/>
      </w:pPr>
      <w:r>
        <w:rPr>
          <w:rFonts w:hint="eastAsia" w:hAnsi="宋体"/>
        </w:rPr>
        <w:t>根据采矿许可证(证号：</w:t>
      </w:r>
      <w:bookmarkStart w:id="183" w:name="OLE_LINK183"/>
      <w:bookmarkStart w:id="184" w:name="OLE_LINK184"/>
      <w:r>
        <w:rPr>
          <w:rFonts w:hint="eastAsia"/>
        </w:rPr>
        <w:t>C2112002009047120014013</w:t>
      </w:r>
      <w:bookmarkEnd w:id="183"/>
      <w:bookmarkEnd w:id="184"/>
      <w:r>
        <w:rPr>
          <w:rFonts w:hint="eastAsia" w:hAnsi="宋体"/>
        </w:rPr>
        <w:t>)</w:t>
      </w:r>
      <w:r>
        <w:rPr>
          <w:rFonts w:hAnsi="宋体"/>
        </w:rPr>
        <w:t>确定的</w:t>
      </w:r>
      <w:r>
        <w:rPr>
          <w:rFonts w:hint="eastAsia" w:hAnsi="宋体"/>
        </w:rPr>
        <w:t>矿区范围由12个拐点圈定，矿区面积0.2847km</w:t>
      </w:r>
      <w:r>
        <w:rPr>
          <w:rFonts w:hint="eastAsia" w:hAnsi="宋体"/>
          <w:vertAlign w:val="superscript"/>
        </w:rPr>
        <w:t>2</w:t>
      </w:r>
      <w:r>
        <w:rPr>
          <w:rFonts w:hint="eastAsia" w:hAnsi="宋体"/>
        </w:rPr>
        <w:t>。开采深度由250m至40m标高。</w:t>
      </w:r>
    </w:p>
    <w:p>
      <w:pPr>
        <w:pStyle w:val="98"/>
        <w:ind w:firstLine="0" w:firstLineChars="0"/>
        <w:jc w:val="center"/>
        <w:rPr>
          <w:rFonts w:hAnsi="宋体"/>
          <w:b/>
        </w:rPr>
      </w:pPr>
    </w:p>
    <w:p>
      <w:pPr>
        <w:widowControl/>
        <w:jc w:val="left"/>
        <w:rPr>
          <w:rFonts w:ascii="宋体"/>
          <w:sz w:val="28"/>
          <w:szCs w:val="28"/>
        </w:rPr>
      </w:pPr>
      <w:r>
        <w:br w:type="page"/>
      </w:r>
    </w:p>
    <w:p>
      <w:pPr>
        <w:pStyle w:val="3"/>
        <w:jc w:val="center"/>
      </w:pPr>
      <w:bookmarkStart w:id="185" w:name="_Toc167307748"/>
      <w:bookmarkStart w:id="186" w:name="_Toc187151557"/>
      <w:bookmarkStart w:id="187" w:name="_Toc188453627"/>
      <w:r>
        <w:rPr>
          <w:rFonts w:hint="eastAsia"/>
        </w:rPr>
        <w:t>四、矿产资源开采与综合利用</w:t>
      </w:r>
      <w:bookmarkEnd w:id="185"/>
      <w:bookmarkEnd w:id="186"/>
      <w:bookmarkEnd w:id="187"/>
    </w:p>
    <w:p>
      <w:pPr>
        <w:pStyle w:val="467"/>
      </w:pPr>
      <w:bookmarkStart w:id="188" w:name="_Toc167307749"/>
      <w:bookmarkStart w:id="189" w:name="_Toc188453628"/>
      <w:bookmarkStart w:id="190" w:name="_Toc187151558"/>
      <w:r>
        <w:rPr>
          <w:rFonts w:hint="eastAsia"/>
        </w:rPr>
        <w:t>（一）开采矿种</w:t>
      </w:r>
      <w:bookmarkEnd w:id="188"/>
      <w:bookmarkEnd w:id="189"/>
      <w:bookmarkEnd w:id="190"/>
    </w:p>
    <w:p>
      <w:pPr>
        <w:pStyle w:val="98"/>
        <w:ind w:firstLine="560"/>
      </w:pPr>
      <w:bookmarkStart w:id="191" w:name="OLE_LINK217"/>
      <w:bookmarkStart w:id="192" w:name="OLE_LINK216"/>
      <w:r>
        <w:rPr>
          <w:rFonts w:hint="eastAsia"/>
        </w:rPr>
        <w:t>根据《</w:t>
      </w:r>
      <w:r>
        <w:rPr>
          <w:rFonts w:hint="eastAsia"/>
          <w:lang w:bidi="zh-CN"/>
        </w:rPr>
        <w:t>辽宁省调兵山市泉眼沟硅灰石矿资源储量分割报告</w:t>
      </w:r>
      <w:r>
        <w:rPr>
          <w:rFonts w:hint="eastAsia"/>
        </w:rPr>
        <w:t>》及《〈</w:t>
      </w:r>
      <w:r>
        <w:rPr>
          <w:rFonts w:hint="eastAsia"/>
          <w:lang w:bidi="zh-CN"/>
        </w:rPr>
        <w:t>辽宁省调兵山市泉眼沟硅灰石矿资源储量分割报告</w:t>
      </w:r>
      <w:r>
        <w:rPr>
          <w:rFonts w:hint="eastAsia"/>
        </w:rPr>
        <w:t>〉评审意见书》，确定该矿主矿种为硅灰石矿，平均品位</w:t>
      </w:r>
      <w:r>
        <w:t>SiO</w:t>
      </w:r>
      <w:r>
        <w:rPr>
          <w:vertAlign w:val="subscript"/>
        </w:rPr>
        <w:t>2</w:t>
      </w:r>
      <w:r>
        <w:rPr>
          <w:rFonts w:hint="eastAsia"/>
        </w:rPr>
        <w:t>49.43%。</w:t>
      </w:r>
    </w:p>
    <w:p>
      <w:pPr>
        <w:pStyle w:val="98"/>
        <w:ind w:firstLine="560"/>
      </w:pPr>
      <w:bookmarkStart w:id="193" w:name="_Toc167307750"/>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，该大理岩化学成份完全符合制硅酸盐水泥原料的要求，开采时可以考虑综合利用。</w:t>
      </w:r>
      <w:bookmarkEnd w:id="191"/>
      <w:bookmarkEnd w:id="192"/>
    </w:p>
    <w:p>
      <w:pPr>
        <w:pStyle w:val="98"/>
        <w:ind w:firstLine="560"/>
      </w:pPr>
      <w:r>
        <w:rPr>
          <w:rFonts w:hint="eastAsia"/>
        </w:rPr>
        <w:t xml:space="preserve">(1) </w:t>
      </w:r>
      <w:bookmarkStart w:id="194" w:name="OLE_LINK219"/>
      <w:bookmarkStart w:id="195" w:name="OLE_LINK218"/>
      <w:bookmarkStart w:id="196" w:name="OLE_LINK222"/>
      <w:bookmarkStart w:id="197" w:name="OLE_LINK221"/>
      <w:bookmarkStart w:id="198" w:name="OLE_LINK220"/>
      <w:r>
        <w:rPr>
          <w:rFonts w:hint="eastAsia"/>
        </w:rPr>
        <w:t>市场及价格</w:t>
      </w:r>
      <w:bookmarkEnd w:id="194"/>
      <w:bookmarkEnd w:id="195"/>
      <w:r>
        <w:rPr>
          <w:rFonts w:hint="eastAsia"/>
        </w:rPr>
        <w:t>预测</w:t>
      </w:r>
      <w:bookmarkEnd w:id="196"/>
      <w:bookmarkEnd w:id="197"/>
      <w:bookmarkEnd w:id="198"/>
    </w:p>
    <w:p>
      <w:pPr>
        <w:pStyle w:val="98"/>
        <w:ind w:firstLine="560"/>
      </w:pPr>
      <w:r>
        <w:rPr>
          <w:rFonts w:hint="eastAsia"/>
        </w:rPr>
        <w:t>硅灰石资源较丰富，据资料记载，全世界已探明矿物储量为</w:t>
      </w:r>
      <w:r>
        <w:t>2</w:t>
      </w:r>
      <w:r>
        <w:rPr>
          <w:rFonts w:hint="eastAsia"/>
        </w:rPr>
        <w:t>亿</w:t>
      </w:r>
      <w:r>
        <w:t>t</w:t>
      </w:r>
      <w:r>
        <w:rPr>
          <w:rFonts w:hint="eastAsia"/>
        </w:rPr>
        <w:t>，远景储量约为</w:t>
      </w:r>
      <w:r>
        <w:t>4</w:t>
      </w:r>
      <w:r>
        <w:rPr>
          <w:rFonts w:hint="eastAsia"/>
        </w:rPr>
        <w:t>亿</w:t>
      </w:r>
      <w:r>
        <w:t>t</w:t>
      </w:r>
      <w:r>
        <w:rPr>
          <w:rFonts w:hint="eastAsia"/>
        </w:rPr>
        <w:t>，主要生产国为美国、印度和墨西哥等国。我国己探明硅灰石储量</w:t>
      </w:r>
      <w:r>
        <w:t>3000</w:t>
      </w:r>
      <w:r>
        <w:rPr>
          <w:rFonts w:hint="eastAsia"/>
        </w:rPr>
        <w:t>多万</w:t>
      </w:r>
      <w:r>
        <w:t>t</w:t>
      </w:r>
      <w:r>
        <w:rPr>
          <w:rFonts w:hint="eastAsia"/>
        </w:rPr>
        <w:t>，远景储量为</w:t>
      </w:r>
      <w:r>
        <w:t>0.5-1.0</w:t>
      </w:r>
      <w:r>
        <w:rPr>
          <w:rFonts w:hint="eastAsia"/>
        </w:rPr>
        <w:t>亿</w:t>
      </w:r>
      <w:r>
        <w:t>t</w:t>
      </w:r>
      <w:r>
        <w:rPr>
          <w:rFonts w:hint="eastAsia"/>
        </w:rPr>
        <w:t>，资源储量为世界第一位。中国硅灰石主要分布在辽宁、吉林、内蒙古、安徽、湖北等省份，其中辽宁和内蒙古地区产量较高。</w:t>
      </w:r>
    </w:p>
    <w:p>
      <w:pPr>
        <w:pStyle w:val="98"/>
        <w:ind w:firstLine="560"/>
      </w:pPr>
      <w:r>
        <w:rPr>
          <w:rFonts w:hint="eastAsia"/>
        </w:rPr>
        <w:t>硅灰石做为工业矿物原料应用的历史较短，最早开发硅灰石的国家是美国（</w:t>
      </w:r>
      <w:r>
        <w:t>1933</w:t>
      </w:r>
      <w:r>
        <w:rPr>
          <w:rFonts w:hint="eastAsia"/>
        </w:rPr>
        <w:t>年），其后是芬兰、墨西哥、前苏联、印度等国，用作矿棉、涂料及电焊条药皮等。直到</w:t>
      </w:r>
      <w:r>
        <w:t>20</w:t>
      </w:r>
      <w:r>
        <w:rPr>
          <w:rFonts w:hint="eastAsia"/>
        </w:rPr>
        <w:t>世纪</w:t>
      </w:r>
      <w:r>
        <w:t>60</w:t>
      </w:r>
      <w:r>
        <w:rPr>
          <w:rFonts w:hint="eastAsia"/>
        </w:rPr>
        <w:t>年代，硅灰石作为一种快速烧成的理想材料，在釉面砖和陶瓷制品生产中得到广泛的应用，世界硅灰石生产随即而迅速发展，年产量由</w:t>
      </w:r>
      <w:r>
        <w:t>50</w:t>
      </w:r>
      <w:r>
        <w:rPr>
          <w:rFonts w:hint="eastAsia"/>
        </w:rPr>
        <w:t>年代的</w:t>
      </w:r>
      <w:r>
        <w:t>4</w:t>
      </w:r>
      <w:r>
        <w:rPr>
          <w:rFonts w:hint="eastAsia"/>
        </w:rPr>
        <w:t>×</w:t>
      </w:r>
      <w:r>
        <w:t>10</w:t>
      </w:r>
      <w:r>
        <w:rPr>
          <w:vertAlign w:val="superscript"/>
        </w:rPr>
        <w:t>4</w:t>
      </w:r>
      <w:r>
        <w:t>t</w:t>
      </w:r>
      <w:r>
        <w:rPr>
          <w:rFonts w:hint="eastAsia"/>
        </w:rPr>
        <w:t>左右，至</w:t>
      </w:r>
      <w:r>
        <w:t>90</w:t>
      </w:r>
      <w:r>
        <w:rPr>
          <w:rFonts w:hint="eastAsia"/>
        </w:rPr>
        <w:t>年代已增长</w:t>
      </w:r>
      <w:r>
        <w:t>10</w:t>
      </w:r>
      <w:r>
        <w:rPr>
          <w:rFonts w:hint="eastAsia"/>
        </w:rPr>
        <w:t>倍。我国于</w:t>
      </w:r>
      <w:r>
        <w:t>1979</w:t>
      </w:r>
      <w:r>
        <w:rPr>
          <w:rFonts w:hint="eastAsia"/>
        </w:rPr>
        <w:t>年开始生产硅灰石产品，三十年来，随着开发规模的不断扩大，产量也迅速增长，自</w:t>
      </w:r>
      <w:r>
        <w:t>2000</w:t>
      </w:r>
      <w:r>
        <w:rPr>
          <w:rFonts w:hint="eastAsia"/>
        </w:rPr>
        <w:t>年来，国外市场对硅灰石的需求剧增，硅灰石的价格也有所提高，使得国内硅灰石的年产量增长迅速，</w:t>
      </w:r>
      <w:r>
        <w:t>2007</w:t>
      </w:r>
      <w:r>
        <w:rPr>
          <w:rFonts w:hint="eastAsia"/>
        </w:rPr>
        <w:t>年达到顶峰为</w:t>
      </w:r>
      <w:r>
        <w:t>74.5</w:t>
      </w:r>
      <w:r>
        <w:rPr>
          <w:rFonts w:hint="eastAsia"/>
        </w:rPr>
        <w:t>万</w:t>
      </w:r>
      <w:r>
        <w:t>t</w:t>
      </w:r>
      <w:r>
        <w:rPr>
          <w:rFonts w:hint="eastAsia"/>
        </w:rPr>
        <w:t>。</w:t>
      </w:r>
      <w:r>
        <w:t>2012-2016</w:t>
      </w:r>
      <w:r>
        <w:rPr>
          <w:rFonts w:hint="eastAsia"/>
        </w:rPr>
        <w:t>年又呈现下降趋势，</w:t>
      </w:r>
      <w:r>
        <w:t>2020</w:t>
      </w:r>
      <w:r>
        <w:rPr>
          <w:rFonts w:hint="eastAsia"/>
        </w:rPr>
        <w:t>年约为</w:t>
      </w:r>
      <w:r>
        <w:t>53.8</w:t>
      </w:r>
      <w:r>
        <w:rPr>
          <w:rFonts w:hint="eastAsia"/>
        </w:rPr>
        <w:t>万</w:t>
      </w:r>
      <w:r>
        <w:t>t</w:t>
      </w:r>
      <w:r>
        <w:rPr>
          <w:rFonts w:hint="eastAsia"/>
        </w:rPr>
        <w:t>；</w:t>
      </w:r>
      <w:r>
        <w:t>2021</w:t>
      </w:r>
      <w:r>
        <w:rPr>
          <w:rFonts w:hint="eastAsia"/>
        </w:rPr>
        <w:t>年约为</w:t>
      </w:r>
      <w:r>
        <w:t>77.1</w:t>
      </w:r>
      <w:r>
        <w:rPr>
          <w:rFonts w:hint="eastAsia"/>
        </w:rPr>
        <w:t>万</w:t>
      </w:r>
      <w:r>
        <w:t>t</w:t>
      </w:r>
      <w:r>
        <w:rPr>
          <w:rFonts w:hint="eastAsia"/>
        </w:rPr>
        <w:t>。目前我国硅灰石行业处于成长期阶段，未来有广阔的市场容量。</w:t>
      </w:r>
    </w:p>
    <w:p>
      <w:pPr>
        <w:pStyle w:val="98"/>
        <w:ind w:firstLine="560"/>
      </w:pPr>
      <w:r>
        <w:rPr>
          <w:rFonts w:hint="eastAsia"/>
        </w:rPr>
        <w:t>硅灰石进口方面，近年来中国硅灰石进口数量保持在</w:t>
      </w:r>
      <w:r>
        <w:t>0.4</w:t>
      </w:r>
      <w:r>
        <w:rPr>
          <w:rFonts w:hint="eastAsia"/>
        </w:rPr>
        <w:t>万吨上下波动，</w:t>
      </w:r>
      <w:r>
        <w:t>2022</w:t>
      </w:r>
      <w:r>
        <w:rPr>
          <w:rFonts w:hint="eastAsia"/>
        </w:rPr>
        <w:t>年进口数量为</w:t>
      </w:r>
      <w:r>
        <w:t>0.38</w:t>
      </w:r>
      <w:r>
        <w:rPr>
          <w:rFonts w:hint="eastAsia"/>
        </w:rPr>
        <w:t>万吨，进口金额为</w:t>
      </w:r>
      <w:r>
        <w:t>511.61</w:t>
      </w:r>
      <w:r>
        <w:rPr>
          <w:rFonts w:hint="eastAsia"/>
        </w:rPr>
        <w:t>万美元。中国虽然硅灰石资源丰富，但仍需从国际市场进口部分产品以满足特定需求。</w:t>
      </w:r>
    </w:p>
    <w:p>
      <w:pPr>
        <w:pStyle w:val="98"/>
        <w:ind w:firstLine="560"/>
      </w:pPr>
      <w:r>
        <w:rPr>
          <w:rFonts w:hint="eastAsia"/>
        </w:rPr>
        <w:t>近年来，随着国内外硅灰石加工技术水平的不断提高，其应用领域正在拓宽，用途也越来越广泛。由于硅灰石具有促使建材制品低温快烧的功能，它又是研究、开发和生产生态建材不可缺少的重要原材料，需求量也呈逐年持继增长的趋势，目前已成为国内外市场上较畅销的矿产品之一。</w:t>
      </w:r>
    </w:p>
    <w:p>
      <w:pPr>
        <w:pStyle w:val="98"/>
        <w:ind w:firstLine="560"/>
      </w:pPr>
      <w:r>
        <w:rPr>
          <w:rFonts w:hint="eastAsia"/>
        </w:rPr>
        <w:t>调兵山～法库县硅灰石矿是我省重要的硅灰石矿产地之一，硅灰石矿资源较丰富。矿石主要以手选精矿方式销往日本，部分销往南韩及欧洲。曾以矿石质量好，储量大，易开采等特点誉满中外，其产品质量与其它省相比均占有较大优势，在国际市场上具有较强的竞争力，供求上始终保持着稳固的增长势头。由于目前矿山采选机械化程度低、生产结构不甚合理、深加工技术较落后，在一定程度上制约了矿产业的发展。但随着世界硅灰石探明资源储量的不断减少和各国的需求量逐年增加，这无疑会给硅灰石的开发和销售带来新的契机，从而也会带动价格的上涨，预计末来硅灰石市场的供需关系还会向较稳定的方向发展。因此，开发该硅灰石矿床的经济效益应较可观。</w:t>
      </w:r>
    </w:p>
    <w:p>
      <w:pPr>
        <w:pStyle w:val="98"/>
        <w:ind w:firstLine="560"/>
      </w:pPr>
      <w:r>
        <w:rPr>
          <w:rFonts w:hint="eastAsia"/>
        </w:rPr>
        <w:t>(2) 采矿成本</w:t>
      </w:r>
    </w:p>
    <w:p>
      <w:pPr>
        <w:pStyle w:val="98"/>
        <w:ind w:firstLine="560"/>
      </w:pPr>
      <w:r>
        <w:t>成本按费用项目进行估算，其项目包括：材料费、动力费、工资及福利费、管理费、其它费用。</w:t>
      </w:r>
    </w:p>
    <w:p>
      <w:pPr>
        <w:pStyle w:val="98"/>
        <w:ind w:firstLine="560"/>
      </w:pPr>
      <w:r>
        <w:t>按上述项目估算矿石综合成本</w:t>
      </w:r>
      <w:r>
        <w:rPr>
          <w:rFonts w:hint="eastAsia"/>
        </w:rPr>
        <w:t>116</w:t>
      </w:r>
      <w:r>
        <w:t>元/t，详见表</w:t>
      </w:r>
      <w:r>
        <w:rPr>
          <w:rFonts w:hint="eastAsia"/>
        </w:rPr>
        <w:t>4-1</w:t>
      </w:r>
      <w:r>
        <w:t>。</w:t>
      </w:r>
    </w:p>
    <w:p>
      <w:pPr>
        <w:spacing w:line="360" w:lineRule="auto"/>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表4-1 矿石综合成本费用估算表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4420"/>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序号</w:t>
            </w:r>
          </w:p>
        </w:tc>
        <w:tc>
          <w:tcPr>
            <w:tcW w:w="442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项目</w:t>
            </w:r>
          </w:p>
        </w:tc>
        <w:tc>
          <w:tcPr>
            <w:tcW w:w="3005"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单位成本(元/t)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p>
        </w:tc>
        <w:tc>
          <w:tcPr>
            <w:tcW w:w="4420" w:type="dxa"/>
          </w:tcPr>
          <w:p>
            <w:pPr>
              <w:jc w:val="center"/>
              <w:rPr>
                <w:rFonts w:asciiTheme="minorEastAsia" w:hAnsiTheme="minorEastAsia" w:eastAsiaTheme="minorEastAsia"/>
                <w:sz w:val="24"/>
              </w:rPr>
            </w:pPr>
            <w:r>
              <w:rPr>
                <w:rFonts w:hint="eastAsia"/>
              </w:rPr>
              <w:t>辅助材料</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p>
        </w:tc>
        <w:tc>
          <w:tcPr>
            <w:tcW w:w="4420" w:type="dxa"/>
          </w:tcPr>
          <w:p>
            <w:pPr>
              <w:jc w:val="center"/>
              <w:rPr>
                <w:rFonts w:asciiTheme="minorEastAsia" w:hAnsiTheme="minorEastAsia" w:eastAsiaTheme="minorEastAsia"/>
                <w:sz w:val="24"/>
              </w:rPr>
            </w:pPr>
            <w:r>
              <w:rPr>
                <w:rFonts w:hint="eastAsia"/>
              </w:rPr>
              <w:t>动力</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w:t>
            </w:r>
          </w:p>
        </w:tc>
        <w:tc>
          <w:tcPr>
            <w:tcW w:w="4420" w:type="dxa"/>
          </w:tcPr>
          <w:p>
            <w:pPr>
              <w:jc w:val="center"/>
              <w:rPr>
                <w:rFonts w:asciiTheme="minorEastAsia" w:hAnsiTheme="minorEastAsia" w:eastAsiaTheme="minorEastAsia"/>
                <w:sz w:val="24"/>
              </w:rPr>
            </w:pPr>
            <w:r>
              <w:rPr>
                <w:rFonts w:hint="eastAsia"/>
              </w:rPr>
              <w:t>人工工资</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4</w:t>
            </w:r>
          </w:p>
        </w:tc>
        <w:tc>
          <w:tcPr>
            <w:tcW w:w="4420" w:type="dxa"/>
          </w:tcPr>
          <w:p>
            <w:pPr>
              <w:jc w:val="center"/>
              <w:rPr>
                <w:rFonts w:asciiTheme="minorEastAsia" w:hAnsiTheme="minorEastAsia" w:eastAsiaTheme="minorEastAsia"/>
                <w:sz w:val="24"/>
              </w:rPr>
            </w:pPr>
            <w:r>
              <w:rPr>
                <w:rFonts w:hint="eastAsia"/>
              </w:rPr>
              <w:t>制造费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5</w:t>
            </w:r>
          </w:p>
        </w:tc>
        <w:tc>
          <w:tcPr>
            <w:tcW w:w="4420" w:type="dxa"/>
          </w:tcPr>
          <w:p>
            <w:pPr>
              <w:jc w:val="center"/>
              <w:rPr>
                <w:rFonts w:asciiTheme="minorEastAsia" w:hAnsiTheme="minorEastAsia" w:eastAsiaTheme="minorEastAsia"/>
                <w:sz w:val="24"/>
              </w:rPr>
            </w:pPr>
            <w:r>
              <w:rPr>
                <w:rFonts w:hint="eastAsia"/>
              </w:rPr>
              <w:t>折旧费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6</w:t>
            </w:r>
          </w:p>
        </w:tc>
        <w:tc>
          <w:tcPr>
            <w:tcW w:w="4420" w:type="dxa"/>
          </w:tcPr>
          <w:p>
            <w:pPr>
              <w:jc w:val="center"/>
              <w:rPr>
                <w:rFonts w:asciiTheme="minorEastAsia" w:hAnsiTheme="minorEastAsia" w:eastAsiaTheme="minorEastAsia"/>
                <w:sz w:val="24"/>
              </w:rPr>
            </w:pPr>
            <w:r>
              <w:rPr>
                <w:rFonts w:hint="eastAsia"/>
              </w:rPr>
              <w:t>维修费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7</w:t>
            </w:r>
          </w:p>
        </w:tc>
        <w:tc>
          <w:tcPr>
            <w:tcW w:w="4420" w:type="dxa"/>
          </w:tcPr>
          <w:p>
            <w:pPr>
              <w:jc w:val="center"/>
              <w:rPr>
                <w:rFonts w:asciiTheme="minorEastAsia" w:hAnsiTheme="minorEastAsia" w:eastAsiaTheme="minorEastAsia"/>
                <w:sz w:val="24"/>
              </w:rPr>
            </w:pPr>
            <w:r>
              <w:rPr>
                <w:rFonts w:hint="eastAsia"/>
              </w:rPr>
              <w:t>其他制造费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517" w:type="dxa"/>
            <w:gridSpan w:val="2"/>
            <w:vAlign w:val="center"/>
          </w:tcPr>
          <w:p>
            <w:pPr>
              <w:jc w:val="center"/>
              <w:rPr>
                <w:rFonts w:asciiTheme="minorEastAsia" w:hAnsiTheme="minorEastAsia" w:eastAsiaTheme="minorEastAsia"/>
                <w:sz w:val="24"/>
              </w:rPr>
            </w:pPr>
            <w:r>
              <w:rPr>
                <w:rFonts w:asciiTheme="minorEastAsia" w:hAnsiTheme="minorEastAsia" w:eastAsiaTheme="minorEastAsia"/>
                <w:sz w:val="24"/>
              </w:rPr>
              <w:t>合计</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116</w:t>
            </w:r>
          </w:p>
        </w:tc>
      </w:tr>
    </w:tbl>
    <w:p>
      <w:pPr>
        <w:pStyle w:val="98"/>
        <w:ind w:firstLine="560"/>
      </w:pPr>
      <w:r>
        <w:rPr>
          <w:rFonts w:hint="eastAsia"/>
        </w:rPr>
        <w:t>(3) 经济评价</w:t>
      </w:r>
    </w:p>
    <w:p>
      <w:pPr>
        <w:pStyle w:val="98"/>
        <w:ind w:firstLine="560"/>
      </w:pPr>
      <w:r>
        <w:rPr>
          <w:rFonts w:hint="eastAsia"/>
        </w:rPr>
        <w:t>1) 职工定员和劳动生产率</w:t>
      </w:r>
    </w:p>
    <w:p>
      <w:pPr>
        <w:pStyle w:val="98"/>
        <w:ind w:firstLine="560"/>
      </w:pPr>
      <w:r>
        <w:t>按生产工艺确定需要的生产工人数，并考虑职工因病、因事等原因而缺勤的人员和串</w:t>
      </w:r>
      <w:r>
        <w:rPr>
          <w:rFonts w:hint="eastAsia"/>
        </w:rPr>
        <w:t>休</w:t>
      </w:r>
      <w:r>
        <w:t>所需的替补人员。</w:t>
      </w:r>
    </w:p>
    <w:p>
      <w:pPr>
        <w:pStyle w:val="98"/>
        <w:ind w:firstLine="560"/>
      </w:pPr>
      <w:r>
        <w:t>矿山总人数为</w:t>
      </w:r>
      <w:r>
        <w:rPr>
          <w:rFonts w:hint="eastAsia"/>
        </w:rPr>
        <w:t>30</w:t>
      </w:r>
      <w:r>
        <w:t>人，其中：管理及技术人员</w:t>
      </w:r>
      <w:r>
        <w:rPr>
          <w:rFonts w:hint="eastAsia"/>
        </w:rPr>
        <w:t>17</w:t>
      </w:r>
      <w:r>
        <w:t>人，生产工人</w:t>
      </w:r>
      <w:r>
        <w:rPr>
          <w:rFonts w:hint="eastAsia"/>
        </w:rPr>
        <w:t>13</w:t>
      </w:r>
      <w:r>
        <w:t>人。</w:t>
      </w:r>
    </w:p>
    <w:p>
      <w:pPr>
        <w:pStyle w:val="98"/>
        <w:ind w:firstLine="560"/>
      </w:pPr>
      <w:r>
        <w:t>生产工人劳动生产率为：</w:t>
      </w:r>
      <w:r>
        <w:rPr>
          <w:rFonts w:hint="eastAsia"/>
        </w:rPr>
        <w:t>1646</w:t>
      </w:r>
      <w:r>
        <w:t>t/人.a，全员劳动生产率为：</w:t>
      </w:r>
      <w:r>
        <w:rPr>
          <w:rFonts w:hint="eastAsia"/>
        </w:rPr>
        <w:t>823</w:t>
      </w:r>
      <w:r>
        <w:t>t/人.a。</w:t>
      </w:r>
    </w:p>
    <w:p>
      <w:pPr>
        <w:pStyle w:val="98"/>
        <w:ind w:firstLine="560"/>
      </w:pPr>
      <w:r>
        <w:rPr>
          <w:rFonts w:hint="eastAsia"/>
        </w:rPr>
        <w:t>2) 投资估算</w:t>
      </w:r>
    </w:p>
    <w:p>
      <w:pPr>
        <w:pStyle w:val="98"/>
        <w:ind w:firstLine="560"/>
      </w:pPr>
      <w:r>
        <w:rPr>
          <w:rFonts w:hint="eastAsia"/>
        </w:rPr>
        <w:t>① 建设总投资</w:t>
      </w:r>
    </w:p>
    <w:p>
      <w:pPr>
        <w:pStyle w:val="98"/>
        <w:ind w:firstLine="560"/>
      </w:pPr>
      <w:r>
        <w:t>本方案矿山基建总投资为</w:t>
      </w:r>
      <w:r>
        <w:rPr>
          <w:rFonts w:hint="eastAsia"/>
        </w:rPr>
        <w:t>1167.1</w:t>
      </w:r>
      <w:r>
        <w:t>万元</w:t>
      </w:r>
      <w:r>
        <w:rPr>
          <w:rFonts w:hint="eastAsia"/>
        </w:rPr>
        <w:t>，</w:t>
      </w:r>
      <w:r>
        <w:t>其中井巷工程费为</w:t>
      </w:r>
      <w:r>
        <w:rPr>
          <w:rFonts w:hint="eastAsia"/>
        </w:rPr>
        <w:t>504.1</w:t>
      </w:r>
      <w:r>
        <w:t>万元</w:t>
      </w:r>
      <w:r>
        <w:rPr>
          <w:rFonts w:hint="eastAsia"/>
        </w:rPr>
        <w:t>，</w:t>
      </w:r>
      <w:r>
        <w:t>设备购置费为</w:t>
      </w:r>
      <w:r>
        <w:rPr>
          <w:rFonts w:hint="eastAsia"/>
        </w:rPr>
        <w:t>105.2</w:t>
      </w:r>
      <w:r>
        <w:t>万元</w:t>
      </w:r>
      <w:r>
        <w:rPr>
          <w:rFonts w:hint="eastAsia"/>
        </w:rPr>
        <w:t>，建筑</w:t>
      </w:r>
      <w:r>
        <w:t>工程费为</w:t>
      </w:r>
      <w:r>
        <w:rPr>
          <w:rFonts w:hint="eastAsia"/>
        </w:rPr>
        <w:t>118</w:t>
      </w:r>
      <w:r>
        <w:t>万元</w:t>
      </w:r>
      <w:r>
        <w:rPr>
          <w:rFonts w:hint="eastAsia"/>
        </w:rPr>
        <w:t>，</w:t>
      </w:r>
      <w:r>
        <w:t>安装工程费为</w:t>
      </w:r>
      <w:r>
        <w:rPr>
          <w:rFonts w:hint="eastAsia"/>
        </w:rPr>
        <w:t>28.8</w:t>
      </w:r>
      <w:r>
        <w:t>万元，</w:t>
      </w:r>
      <w:r>
        <w:rPr>
          <w:rFonts w:hint="eastAsia"/>
        </w:rPr>
        <w:t>工程建设</w:t>
      </w:r>
      <w:r>
        <w:t>其他费</w:t>
      </w:r>
      <w:r>
        <w:rPr>
          <w:rFonts w:hint="eastAsia"/>
        </w:rPr>
        <w:t>208.5，流动资金为106</w:t>
      </w:r>
      <w:r>
        <w:t>万元</w:t>
      </w:r>
      <w:r>
        <w:rPr>
          <w:rFonts w:hint="eastAsia"/>
        </w:rPr>
        <w:t>，预备费96.5</w:t>
      </w:r>
      <w:r>
        <w:t>万元。建设资金全部自筹。</w:t>
      </w:r>
    </w:p>
    <w:p>
      <w:pPr>
        <w:pStyle w:val="98"/>
        <w:ind w:firstLine="560"/>
      </w:pPr>
    </w:p>
    <w:p>
      <w:pPr>
        <w:pStyle w:val="98"/>
        <w:ind w:firstLine="560"/>
      </w:pPr>
    </w:p>
    <w:p>
      <w:pPr>
        <w:spacing w:line="360" w:lineRule="auto"/>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表4-2 基建工程费用表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1585"/>
        <w:gridCol w:w="1525"/>
        <w:gridCol w:w="1346"/>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巷道名称</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掘进断面</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2</w:t>
            </w:r>
            <w:r>
              <w:rPr>
                <w:rFonts w:hint="eastAsia" w:asciiTheme="minorEastAsia" w:hAnsiTheme="minorEastAsia" w:eastAsiaTheme="minorEastAsia"/>
                <w:sz w:val="24"/>
              </w:rPr>
              <w:t>)</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巷道长度</w:t>
            </w:r>
            <w:r>
              <w:rPr>
                <w:rFonts w:hint="eastAsia" w:asciiTheme="minorEastAsia" w:hAnsiTheme="minorEastAsia" w:eastAsiaTheme="minorEastAsia"/>
                <w:sz w:val="24"/>
              </w:rPr>
              <w:t>(</w:t>
            </w:r>
            <w:r>
              <w:rPr>
                <w:rFonts w:asciiTheme="minorEastAsia" w:hAnsiTheme="minorEastAsia" w:eastAsiaTheme="minorEastAsia"/>
                <w:sz w:val="24"/>
              </w:rPr>
              <w:t>m</w:t>
            </w:r>
            <w:r>
              <w:rPr>
                <w:rFonts w:hint="eastAsia" w:asciiTheme="minorEastAsia" w:hAnsiTheme="minorEastAsia" w:eastAsiaTheme="minorEastAsia"/>
                <w:sz w:val="24"/>
              </w:rPr>
              <w:t>)</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工程</w:t>
            </w:r>
            <w:r>
              <w:rPr>
                <w:rFonts w:asciiTheme="minorEastAsia" w:hAnsiTheme="minorEastAsia" w:eastAsiaTheme="minorEastAsia"/>
                <w:sz w:val="24"/>
              </w:rPr>
              <w:t>量</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w:t>
            </w:r>
          </w:p>
        </w:tc>
        <w:tc>
          <w:tcPr>
            <w:tcW w:w="164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总金额</w:t>
            </w:r>
            <w:r>
              <w:rPr>
                <w:rFonts w:hint="eastAsia" w:asciiTheme="minorEastAsia" w:hAnsiTheme="minorEastAsia" w:eastAsiaTheme="minorEastAsia"/>
                <w:sz w:val="24"/>
              </w:rPr>
              <w:t>(</w:t>
            </w:r>
            <w:r>
              <w:rPr>
                <w:rFonts w:asciiTheme="minorEastAsia" w:hAnsiTheme="minorEastAsia" w:eastAsiaTheme="minorEastAsia"/>
                <w:sz w:val="24"/>
              </w:rPr>
              <w:t>万元</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273.84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92.88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w:t>
            </w:r>
            <w:r>
              <w:rPr>
                <w:rFonts w:asciiTheme="minorEastAsia" w:hAnsiTheme="minorEastAsia" w:eastAsiaTheme="minorEastAsia"/>
                <w:sz w:val="24"/>
              </w:rPr>
              <w:t>m</w:t>
            </w:r>
            <w:r>
              <w:rPr>
                <w:rFonts w:hint="eastAsia" w:asciiTheme="minorEastAsia" w:hAnsiTheme="minorEastAsia" w:eastAsiaTheme="minorEastAsia"/>
                <w:sz w:val="24"/>
              </w:rPr>
              <w:t>中段</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92.88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w:t>
            </w:r>
            <w:r>
              <w:rPr>
                <w:rFonts w:asciiTheme="minorEastAsia" w:hAnsiTheme="minorEastAsia" w:eastAsiaTheme="minorEastAsia"/>
                <w:sz w:val="24"/>
              </w:rPr>
              <w:t>m</w:t>
            </w:r>
            <w:r>
              <w:rPr>
                <w:rFonts w:hint="eastAsia" w:asciiTheme="minorEastAsia" w:hAnsiTheme="minorEastAsia" w:eastAsiaTheme="minorEastAsia"/>
                <w:sz w:val="24"/>
              </w:rPr>
              <w:t>中段</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45m泵房水仓</w:t>
            </w:r>
          </w:p>
        </w:tc>
        <w:tc>
          <w:tcPr>
            <w:tcW w:w="1585" w:type="dxa"/>
            <w:shd w:val="clear" w:color="auto" w:fill="auto"/>
            <w:vAlign w:val="center"/>
          </w:tcPr>
          <w:p>
            <w:pPr>
              <w:spacing w:line="240" w:lineRule="exact"/>
              <w:jc w:val="center"/>
              <w:rPr>
                <w:rFonts w:asciiTheme="minorEastAsia" w:hAnsiTheme="minorEastAsia" w:eastAsiaTheme="minorEastAsia"/>
                <w:sz w:val="24"/>
              </w:rPr>
            </w:pPr>
          </w:p>
        </w:tc>
        <w:tc>
          <w:tcPr>
            <w:tcW w:w="1525" w:type="dxa"/>
            <w:shd w:val="clear" w:color="auto" w:fill="auto"/>
            <w:vAlign w:val="center"/>
          </w:tcPr>
          <w:p>
            <w:pPr>
              <w:spacing w:line="240" w:lineRule="exact"/>
              <w:jc w:val="center"/>
              <w:rPr>
                <w:rFonts w:asciiTheme="minorEastAsia" w:hAnsiTheme="minorEastAsia" w:eastAsiaTheme="minorEastAsia"/>
                <w:sz w:val="24"/>
              </w:rPr>
            </w:pP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585" w:type="dxa"/>
            <w:shd w:val="clear" w:color="auto" w:fill="auto"/>
            <w:vAlign w:val="center"/>
          </w:tcPr>
          <w:p>
            <w:pPr>
              <w:spacing w:line="240" w:lineRule="exact"/>
              <w:jc w:val="center"/>
              <w:rPr>
                <w:rFonts w:asciiTheme="minorEastAsia" w:hAnsiTheme="minorEastAsia" w:eastAsiaTheme="minorEastAsia"/>
                <w:sz w:val="24"/>
              </w:rPr>
            </w:pPr>
          </w:p>
        </w:tc>
        <w:tc>
          <w:tcPr>
            <w:tcW w:w="1525" w:type="dxa"/>
            <w:shd w:val="clear" w:color="auto" w:fill="auto"/>
            <w:vAlign w:val="center"/>
          </w:tcPr>
          <w:p>
            <w:pPr>
              <w:spacing w:line="240" w:lineRule="exact"/>
              <w:jc w:val="center"/>
              <w:rPr>
                <w:rFonts w:asciiTheme="minorEastAsia" w:hAnsiTheme="minorEastAsia" w:eastAsiaTheme="minorEastAsia"/>
                <w:sz w:val="24"/>
              </w:rPr>
            </w:pP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1585" w:type="dxa"/>
            <w:shd w:val="clear" w:color="auto" w:fill="auto"/>
            <w:vAlign w:val="center"/>
          </w:tcPr>
          <w:p>
            <w:pPr>
              <w:spacing w:line="240" w:lineRule="exact"/>
              <w:jc w:val="center"/>
              <w:rPr>
                <w:rFonts w:asciiTheme="minorEastAsia" w:hAnsiTheme="minorEastAsia" w:eastAsiaTheme="minorEastAsia"/>
                <w:sz w:val="24"/>
              </w:rPr>
            </w:pP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504.1</w:t>
            </w:r>
          </w:p>
        </w:tc>
      </w:tr>
    </w:tbl>
    <w:p>
      <w:pPr>
        <w:spacing w:line="360" w:lineRule="auto"/>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表4-3 设备购置费表</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461"/>
        <w:gridCol w:w="2633"/>
        <w:gridCol w:w="632"/>
        <w:gridCol w:w="632"/>
        <w:gridCol w:w="1266"/>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3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序号</w:t>
            </w:r>
          </w:p>
        </w:tc>
        <w:tc>
          <w:tcPr>
            <w:tcW w:w="14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设备名称</w:t>
            </w:r>
          </w:p>
        </w:tc>
        <w:tc>
          <w:tcPr>
            <w:tcW w:w="263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规格型号</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单位</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数量</w:t>
            </w:r>
          </w:p>
        </w:tc>
        <w:tc>
          <w:tcPr>
            <w:tcW w:w="126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单价</w:t>
            </w:r>
            <w:r>
              <w:rPr>
                <w:rFonts w:hint="eastAsia" w:asciiTheme="minorEastAsia" w:hAnsiTheme="minorEastAsia" w:eastAsiaTheme="minorEastAsia"/>
                <w:sz w:val="24"/>
              </w:rPr>
              <w:t>(</w:t>
            </w:r>
            <w:r>
              <w:rPr>
                <w:rFonts w:asciiTheme="minorEastAsia" w:hAnsiTheme="minorEastAsia" w:eastAsiaTheme="minorEastAsia"/>
                <w:sz w:val="24"/>
              </w:rPr>
              <w:t>万元</w:t>
            </w:r>
            <w:r>
              <w:rPr>
                <w:rFonts w:hint="eastAsia" w:asciiTheme="minorEastAsia" w:hAnsiTheme="minorEastAsia" w:eastAsiaTheme="minorEastAsia"/>
                <w:sz w:val="24"/>
              </w:rPr>
              <w:t>)</w:t>
            </w:r>
          </w:p>
        </w:tc>
        <w:tc>
          <w:tcPr>
            <w:tcW w:w="126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总价</w:t>
            </w:r>
            <w:r>
              <w:rPr>
                <w:rFonts w:hint="eastAsia" w:asciiTheme="minorEastAsia" w:hAnsiTheme="minorEastAsia" w:eastAsiaTheme="minorEastAsia"/>
                <w:sz w:val="24"/>
              </w:rPr>
              <w:t>(</w:t>
            </w:r>
            <w:r>
              <w:rPr>
                <w:rFonts w:asciiTheme="minorEastAsia" w:hAnsiTheme="minorEastAsia" w:eastAsiaTheme="minorEastAsia"/>
                <w:sz w:val="24"/>
              </w:rPr>
              <w:t>万元</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通</w:t>
            </w:r>
            <w:r>
              <w:rPr>
                <w:rFonts w:asciiTheme="minorEastAsia" w:hAnsiTheme="minorEastAsia" w:eastAsiaTheme="minorEastAsia"/>
                <w:sz w:val="24"/>
              </w:rPr>
              <w:t>风机</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FKZ№15/22</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无轨运输车</w:t>
            </w:r>
          </w:p>
        </w:tc>
        <w:tc>
          <w:tcPr>
            <w:tcW w:w="2633" w:type="dxa"/>
            <w:vAlign w:val="center"/>
          </w:tcPr>
          <w:p>
            <w:pPr>
              <w:pStyle w:val="617"/>
              <w:adjustRightInd w:val="0"/>
              <w:snapToGrid w:val="0"/>
              <w:spacing w:line="240" w:lineRule="auto"/>
              <w:jc w:val="center"/>
              <w:rPr>
                <w:rFonts w:asciiTheme="minorEastAsia" w:hAnsiTheme="minorEastAsia" w:eastAsiaTheme="minorEastAsia"/>
              </w:rPr>
            </w:pPr>
            <w:r>
              <w:rPr>
                <w:rFonts w:hint="eastAsia" w:asciiTheme="minorEastAsia" w:hAnsiTheme="minorEastAsia" w:eastAsiaTheme="minorEastAsia"/>
              </w:rPr>
              <w:t>UQ-10</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pStyle w:val="617"/>
              <w:adjustRightInd w:val="0"/>
              <w:snapToGrid w:val="0"/>
              <w:spacing w:line="240" w:lineRule="auto"/>
              <w:jc w:val="center"/>
              <w:rPr>
                <w:rFonts w:asciiTheme="minorEastAsia" w:hAnsiTheme="minorEastAsia" w:eastAsiaTheme="minorEastAsia"/>
              </w:rPr>
            </w:pPr>
            <w:r>
              <w:rPr>
                <w:rFonts w:hint="eastAsia" w:asciiTheme="minorEastAsia" w:hAnsiTheme="minorEastAsia" w:eastAsiaTheme="minorEastAsia"/>
              </w:rPr>
              <w:t>2</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装载机</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ZL20E</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461" w:type="dxa"/>
            <w:vAlign w:val="center"/>
          </w:tcPr>
          <w:p>
            <w:pPr>
              <w:jc w:val="center"/>
              <w:rPr>
                <w:rFonts w:asciiTheme="minorEastAsia" w:hAnsiTheme="minorEastAsia" w:eastAsiaTheme="minorEastAsia"/>
                <w:sz w:val="24"/>
              </w:rPr>
            </w:pPr>
            <w:bookmarkStart w:id="199" w:name="OLE_LINK243"/>
            <w:bookmarkStart w:id="200" w:name="OLE_LINK244"/>
            <w:r>
              <w:rPr>
                <w:rFonts w:asciiTheme="minorEastAsia" w:hAnsiTheme="minorEastAsia" w:eastAsiaTheme="minorEastAsia"/>
                <w:sz w:val="24"/>
              </w:rPr>
              <w:t>地表高压</w:t>
            </w:r>
          </w:p>
          <w:p>
            <w:pPr>
              <w:jc w:val="center"/>
              <w:rPr>
                <w:rFonts w:asciiTheme="minorEastAsia" w:hAnsiTheme="minorEastAsia" w:eastAsiaTheme="minorEastAsia"/>
                <w:sz w:val="24"/>
              </w:rPr>
            </w:pPr>
            <w:r>
              <w:rPr>
                <w:rFonts w:asciiTheme="minorEastAsia" w:hAnsiTheme="minorEastAsia" w:eastAsiaTheme="minorEastAsia"/>
                <w:sz w:val="24"/>
              </w:rPr>
              <w:t>开关柜</w:t>
            </w:r>
            <w:bookmarkEnd w:id="199"/>
            <w:bookmarkEnd w:id="200"/>
          </w:p>
        </w:tc>
        <w:tc>
          <w:tcPr>
            <w:tcW w:w="2633" w:type="dxa"/>
            <w:vAlign w:val="center"/>
          </w:tcPr>
          <w:p>
            <w:pPr>
              <w:jc w:val="center"/>
              <w:rPr>
                <w:rFonts w:asciiTheme="minorEastAsia" w:hAnsiTheme="minorEastAsia" w:eastAsiaTheme="minorEastAsia"/>
                <w:sz w:val="24"/>
              </w:rPr>
            </w:pPr>
            <w:r>
              <w:rPr>
                <w:rFonts w:hint="eastAsia" w:cs="Calibri" w:asciiTheme="minorEastAsia" w:hAnsiTheme="minorEastAsia" w:eastAsiaTheme="minorEastAsia"/>
                <w:sz w:val="24"/>
              </w:rPr>
              <w:t>KYN28A-1</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地表低压</w:t>
            </w:r>
          </w:p>
          <w:p>
            <w:pPr>
              <w:jc w:val="center"/>
              <w:rPr>
                <w:rFonts w:asciiTheme="minorEastAsia" w:hAnsiTheme="minorEastAsia" w:eastAsiaTheme="minorEastAsia"/>
                <w:sz w:val="24"/>
              </w:rPr>
            </w:pPr>
            <w:r>
              <w:rPr>
                <w:rFonts w:hint="eastAsia" w:asciiTheme="minorEastAsia" w:hAnsiTheme="minorEastAsia" w:eastAsiaTheme="minorEastAsia"/>
                <w:sz w:val="24"/>
              </w:rPr>
              <w:t>开关柜</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GGD</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井下低压</w:t>
            </w:r>
          </w:p>
          <w:p>
            <w:pPr>
              <w:jc w:val="center"/>
              <w:rPr>
                <w:rFonts w:asciiTheme="minorEastAsia" w:hAnsiTheme="minorEastAsia" w:eastAsiaTheme="minorEastAsia"/>
                <w:sz w:val="24"/>
              </w:rPr>
            </w:pPr>
            <w:r>
              <w:rPr>
                <w:rFonts w:hint="eastAsia" w:asciiTheme="minorEastAsia" w:hAnsiTheme="minorEastAsia" w:eastAsiaTheme="minorEastAsia"/>
                <w:sz w:val="24"/>
              </w:rPr>
              <w:t>开关柜</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GKD</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供水泵</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XBD3.3/20</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0.5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6</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人车</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RU-6</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洒水车</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10t</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自救器</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个</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0.06</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hint="eastAsia" w:cs="Calibri"/>
                <w:sz w:val="24"/>
              </w:rPr>
              <w:t>气体检测仪</w:t>
            </w:r>
          </w:p>
        </w:tc>
        <w:tc>
          <w:tcPr>
            <w:tcW w:w="2633" w:type="dxa"/>
            <w:vAlign w:val="center"/>
          </w:tcPr>
          <w:p>
            <w:pPr>
              <w:jc w:val="center"/>
              <w:rPr>
                <w:rFonts w:asciiTheme="minorEastAsia" w:hAnsiTheme="minorEastAsia" w:eastAsiaTheme="minorEastAsia"/>
                <w:sz w:val="24"/>
              </w:rPr>
            </w:pPr>
            <w:r>
              <w:rPr>
                <w:rFonts w:hint="eastAsia" w:cs="Calibri"/>
                <w:sz w:val="24"/>
              </w:rPr>
              <w:t>氮氧化合物多功能</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个</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0.4</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柴油</w:t>
            </w:r>
          </w:p>
          <w:p>
            <w:pPr>
              <w:jc w:val="center"/>
              <w:rPr>
                <w:rFonts w:asciiTheme="minorEastAsia" w:hAnsiTheme="minorEastAsia" w:eastAsiaTheme="minorEastAsia"/>
                <w:sz w:val="24"/>
              </w:rPr>
            </w:pPr>
            <w:r>
              <w:rPr>
                <w:rFonts w:hint="eastAsia" w:asciiTheme="minorEastAsia" w:hAnsiTheme="minorEastAsia" w:eastAsiaTheme="minorEastAsia"/>
                <w:sz w:val="24"/>
              </w:rPr>
              <w:t>发电机组</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50kW</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六大系统</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23.2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应急广播</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0.3</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14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合计</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35</w:t>
            </w:r>
          </w:p>
        </w:tc>
        <w:tc>
          <w:tcPr>
            <w:tcW w:w="1266" w:type="dxa"/>
            <w:vAlign w:val="center"/>
          </w:tcPr>
          <w:p>
            <w:pPr>
              <w:jc w:val="center"/>
              <w:rPr>
                <w:rFonts w:asciiTheme="minorEastAsia" w:hAnsiTheme="minorEastAsia" w:eastAsiaTheme="minorEastAsia"/>
                <w:sz w:val="24"/>
              </w:rPr>
            </w:pP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105.2</w:t>
            </w:r>
          </w:p>
        </w:tc>
      </w:tr>
    </w:tbl>
    <w:p>
      <w:pPr>
        <w:pStyle w:val="98"/>
        <w:ind w:firstLine="560"/>
      </w:pPr>
      <w:r>
        <w:rPr>
          <w:rFonts w:hint="eastAsia"/>
        </w:rPr>
        <w:t>② 成本费用估算</w:t>
      </w:r>
    </w:p>
    <w:p>
      <w:pPr>
        <w:pStyle w:val="98"/>
        <w:ind w:firstLine="560"/>
      </w:pPr>
      <w:r>
        <w:t>成本按费用项目进行估算，其项目包括：材料费、动力费、工资及福利费、管理费、采矿权出让收益费、其它费用</w:t>
      </w:r>
      <w:r>
        <w:rPr>
          <w:rFonts w:hint="eastAsia"/>
        </w:rPr>
        <w:t>。</w:t>
      </w:r>
    </w:p>
    <w:p>
      <w:pPr>
        <w:pStyle w:val="98"/>
        <w:ind w:firstLine="560"/>
      </w:pPr>
      <w:r>
        <w:t>估算矿石综合成本</w:t>
      </w:r>
      <w:r>
        <w:rPr>
          <w:rFonts w:hint="eastAsia"/>
        </w:rPr>
        <w:t>116</w:t>
      </w:r>
      <w:r>
        <w:t>元/t</w:t>
      </w:r>
      <w:r>
        <w:rPr>
          <w:rFonts w:hint="eastAsia"/>
        </w:rPr>
        <w:t>。</w:t>
      </w:r>
    </w:p>
    <w:p>
      <w:pPr>
        <w:pStyle w:val="98"/>
        <w:ind w:firstLine="560"/>
      </w:pPr>
      <w:r>
        <w:rPr>
          <w:rFonts w:hint="eastAsia"/>
        </w:rPr>
        <w:t>③ 经济评价</w:t>
      </w:r>
    </w:p>
    <w:p>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表4-4 </w:t>
      </w:r>
      <w:r>
        <w:rPr>
          <w:rFonts w:asciiTheme="minorEastAsia" w:hAnsiTheme="minorEastAsia" w:eastAsiaTheme="minorEastAsia"/>
          <w:b/>
          <w:sz w:val="28"/>
          <w:szCs w:val="28"/>
        </w:rPr>
        <w:t>经济评价计算表</w:t>
      </w:r>
    </w:p>
    <w:tbl>
      <w:tblPr>
        <w:tblStyle w:val="5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954"/>
        <w:gridCol w:w="3512"/>
        <w:gridCol w:w="1068"/>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序号</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项目名称</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公式</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税率（%）</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指标</w:t>
            </w:r>
          </w:p>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销售收入</w:t>
            </w:r>
          </w:p>
        </w:tc>
        <w:tc>
          <w:tcPr>
            <w:tcW w:w="4580" w:type="dxa"/>
            <w:gridSpan w:val="2"/>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年产量×销售价格</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总成本费用</w:t>
            </w:r>
          </w:p>
        </w:tc>
        <w:tc>
          <w:tcPr>
            <w:tcW w:w="4580" w:type="dxa"/>
            <w:gridSpan w:val="2"/>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年产量×单位成本</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年利税</w:t>
            </w:r>
          </w:p>
        </w:tc>
        <w:tc>
          <w:tcPr>
            <w:tcW w:w="4580" w:type="dxa"/>
            <w:gridSpan w:val="2"/>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年产品销售收入-年总成本费用</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4</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增值税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销项税额-进项税额</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5</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城市维护建设费</w:t>
            </w:r>
          </w:p>
        </w:tc>
        <w:tc>
          <w:tcPr>
            <w:tcW w:w="3512" w:type="dxa"/>
            <w:vMerge w:val="restart"/>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应交增值税额×适用税率</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5%</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6</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教育费附加</w:t>
            </w:r>
          </w:p>
        </w:tc>
        <w:tc>
          <w:tcPr>
            <w:tcW w:w="3512" w:type="dxa"/>
            <w:vMerge w:val="continue"/>
            <w:shd w:val="clear" w:color="auto" w:fill="auto"/>
            <w:vAlign w:val="center"/>
          </w:tcPr>
          <w:p>
            <w:pPr>
              <w:widowControl/>
              <w:jc w:val="center"/>
              <w:rPr>
                <w:rFonts w:asciiTheme="minorEastAsia" w:hAnsiTheme="minorEastAsia" w:eastAsiaTheme="minorEastAsia"/>
                <w:kern w:val="0"/>
                <w:sz w:val="24"/>
              </w:rPr>
            </w:pP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地方教育费附加</w:t>
            </w:r>
          </w:p>
        </w:tc>
        <w:tc>
          <w:tcPr>
            <w:tcW w:w="3512" w:type="dxa"/>
            <w:vMerge w:val="continue"/>
            <w:shd w:val="clear" w:color="auto" w:fill="auto"/>
            <w:vAlign w:val="center"/>
          </w:tcPr>
          <w:p>
            <w:pPr>
              <w:widowControl/>
              <w:jc w:val="center"/>
              <w:rPr>
                <w:rFonts w:asciiTheme="minorEastAsia" w:hAnsiTheme="minorEastAsia" w:eastAsiaTheme="minorEastAsia"/>
                <w:kern w:val="0"/>
                <w:sz w:val="24"/>
              </w:rPr>
            </w:pP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8</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资源税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年原矿销售额×资源税税率</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4%</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9</w:t>
            </w:r>
          </w:p>
        </w:tc>
        <w:tc>
          <w:tcPr>
            <w:tcW w:w="7711" w:type="dxa"/>
            <w:gridSpan w:val="4"/>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企业所得税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销售税金及附加</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城市维护建设税+教育费附加+地方教育费附加+资源税</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利税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销售收入-总成本费用-销售税金及附加</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企业所得税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应纳税所得额×所得税税率</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w:t>
            </w:r>
          </w:p>
        </w:tc>
        <w:tc>
          <w:tcPr>
            <w:tcW w:w="7711" w:type="dxa"/>
            <w:gridSpan w:val="4"/>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税后利润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企业可获得利润</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销售收入-总成本费用-销售税金及附加-企业所得税</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222.3</w:t>
            </w:r>
          </w:p>
        </w:tc>
      </w:tr>
    </w:tbl>
    <w:p>
      <w:pPr>
        <w:pStyle w:val="98"/>
        <w:ind w:firstLine="560"/>
      </w:pPr>
      <w:r>
        <w:t>矿产品年销售收入</w:t>
      </w:r>
      <w:r>
        <w:rPr>
          <w:rFonts w:hint="eastAsia"/>
        </w:rPr>
        <w:t>500</w:t>
      </w:r>
      <w:r>
        <w:t>万元，年经营总成本</w:t>
      </w:r>
      <w:r>
        <w:rPr>
          <w:rFonts w:hint="eastAsia"/>
        </w:rPr>
        <w:t>116</w:t>
      </w:r>
      <w:r>
        <w:t>万元，年销售税金及附加</w:t>
      </w:r>
      <w:r>
        <w:rPr>
          <w:rFonts w:hint="eastAsia"/>
        </w:rPr>
        <w:t>87.6</w:t>
      </w:r>
      <w:r>
        <w:t>万元，年所得</w:t>
      </w:r>
      <w:r>
        <w:rPr>
          <w:rFonts w:hint="eastAsia"/>
        </w:rPr>
        <w:t>税74.1</w:t>
      </w:r>
      <w:r>
        <w:t>万元，年税后利润</w:t>
      </w:r>
      <w:r>
        <w:rPr>
          <w:rFonts w:hint="eastAsia"/>
        </w:rPr>
        <w:t>222.3</w:t>
      </w:r>
      <w:r>
        <w:t>元。全部投资(自有投资)所得税</w:t>
      </w:r>
      <w:r>
        <w:rPr>
          <w:rFonts w:hint="eastAsia"/>
        </w:rPr>
        <w:t>后</w:t>
      </w:r>
      <w:r>
        <w:t>静态回收期(不包括基建期)</w:t>
      </w:r>
      <w:r>
        <w:rPr>
          <w:rFonts w:hint="eastAsia"/>
        </w:rPr>
        <w:t>5.1年。</w:t>
      </w:r>
    </w:p>
    <w:p>
      <w:pPr>
        <w:pStyle w:val="467"/>
      </w:pPr>
      <w:bookmarkStart w:id="201" w:name="_Toc187151559"/>
      <w:bookmarkStart w:id="202" w:name="_Toc188453629"/>
      <w:r>
        <w:rPr>
          <w:rFonts w:hint="eastAsia"/>
        </w:rPr>
        <w:t>（二）开采方式</w:t>
      </w:r>
      <w:bookmarkEnd w:id="193"/>
      <w:bookmarkEnd w:id="201"/>
      <w:bookmarkEnd w:id="202"/>
    </w:p>
    <w:p>
      <w:pPr>
        <w:pStyle w:val="6"/>
        <w:ind w:firstLine="562" w:firstLineChars="200"/>
        <w:rPr>
          <w:rFonts w:hint="default"/>
        </w:rPr>
      </w:pPr>
      <w:r>
        <w:t>1.开采顺序</w:t>
      </w:r>
    </w:p>
    <w:p>
      <w:pPr>
        <w:pStyle w:val="98"/>
        <w:ind w:firstLine="560"/>
      </w:pPr>
      <w:bookmarkStart w:id="203" w:name="OLE_LINK259"/>
      <w:bookmarkStart w:id="204" w:name="OLE_LINK258"/>
      <w:r>
        <w:rPr>
          <w:rFonts w:hint="eastAsia"/>
        </w:rPr>
        <w:t>根据矿体的赋存情况及开采技术条件，充分考虑水文地质、工程地质、环境地质因素的影响，</w:t>
      </w:r>
      <w:r>
        <w:t>根据矿区内矿体的空间</w:t>
      </w:r>
      <w:r>
        <w:rPr>
          <w:rFonts w:hint="eastAsia"/>
        </w:rPr>
        <w:t>展</w:t>
      </w:r>
      <w:r>
        <w:t>布，</w:t>
      </w:r>
      <w:r>
        <w:rPr>
          <w:rFonts w:hint="eastAsia"/>
        </w:rPr>
        <w:t>矿区范围内一个采区整体考虑，</w:t>
      </w:r>
      <w:r>
        <w:t>对于整个开采系统而言，</w:t>
      </w:r>
      <w:r>
        <w:rPr>
          <w:rFonts w:hint="eastAsia"/>
        </w:rPr>
        <w:t>确定矿床开采顺序采用自上而下分中段回采，各中段矿体采用从下向上开采，由回风侧向入风侧后退式回采。</w:t>
      </w:r>
      <w:bookmarkEnd w:id="203"/>
      <w:bookmarkEnd w:id="204"/>
    </w:p>
    <w:p>
      <w:pPr>
        <w:pStyle w:val="6"/>
        <w:ind w:firstLine="562" w:firstLineChars="200"/>
        <w:rPr>
          <w:rFonts w:hint="default"/>
        </w:rPr>
      </w:pPr>
      <w:bookmarkStart w:id="205" w:name="_Toc146115805"/>
      <w:bookmarkStart w:id="206" w:name="_Toc142406893"/>
      <w:bookmarkStart w:id="207" w:name="_Toc146115722"/>
      <w:bookmarkStart w:id="208" w:name="_Toc259351715"/>
      <w:r>
        <w:t>2.矿床开拓方案</w:t>
      </w:r>
      <w:bookmarkEnd w:id="205"/>
      <w:bookmarkEnd w:id="206"/>
      <w:bookmarkEnd w:id="207"/>
      <w:bookmarkEnd w:id="208"/>
    </w:p>
    <w:p>
      <w:pPr>
        <w:pStyle w:val="98"/>
        <w:ind w:firstLine="560"/>
      </w:pPr>
      <w:r>
        <w:rPr>
          <w:rFonts w:hint="eastAsia"/>
        </w:rPr>
        <w:t>本次方案新建斜坡道位于地下开采岩石移动监测范围20m之外，设计斜坡道底标高为45m，垂深95m，斜坡道长891m，平均坡度11%，净断面(宽×高)：3.6m×3.4m三心拱。设计斜坡道转弯半径为15m，坡度不大于3%。斜坡道主要负责矿石、废石、设备、人员、材料的运输任务，担负矿山入风任务，为矿山主要安全出口。</w:t>
      </w:r>
    </w:p>
    <w:p>
      <w:pPr>
        <w:pStyle w:val="98"/>
        <w:ind w:firstLine="560"/>
      </w:pPr>
      <w:r>
        <w:rPr>
          <w:rFonts w:hint="eastAsia"/>
        </w:rPr>
        <w:t>斜坡道内设躲避硐，设计躲避硐室有效高度不小于2.0m，有效宽度1.5m，深度1.0m，躲避硐室设置在围岩稳固段，最大间距：曲线段不超过15m，直线段不超过50m。躲避硐室应有明显的标志，并保持干净、无障碍物。</w:t>
      </w:r>
    </w:p>
    <w:p>
      <w:pPr>
        <w:pStyle w:val="98"/>
        <w:ind w:firstLine="560"/>
      </w:pPr>
      <w:r>
        <w:rPr>
          <w:rFonts w:hint="eastAsia"/>
        </w:rPr>
        <w:t>井下运输巷道为单线行驶，为保证行车安全，每隔200m～400m设一缓坡段错车道，选择在稳定性较好的岩层中，缓坡段长度20m，坡度为3%，采用碎石路面并定期补充碎石进行维护。</w:t>
      </w:r>
    </w:p>
    <w:p>
      <w:pPr>
        <w:pStyle w:val="98"/>
        <w:ind w:firstLine="560"/>
      </w:pPr>
      <w:r>
        <w:rPr>
          <w:rFonts w:hint="eastAsia" w:asciiTheme="minorEastAsia" w:hAnsiTheme="minorEastAsia" w:eastAsiaTheme="minorEastAsia"/>
        </w:rPr>
        <w:t>本次方案利用现有斜井作为回风斜井，回风斜井井口位于设计地表岩石移动监测范围20m外，现状井底标高为45m，斜井倾角23°，斜井总长度为305m，设计利用105m标高以上斜井井筒，该部分斜井井筒位于岩石移动监测范围20m外，回风斜井与105m回风中段连通，105m水平以下斜井井筒按设计废弃斜井进行封堵处理。回风斜井断面为三心拱形，净断面(宽×高)：2.3m×2.7m，担负矿山回风任务，内设踏步及扶手，作为矿山的应急安全出口</w:t>
      </w:r>
      <w:r>
        <w:rPr>
          <w:rFonts w:hint="eastAsia"/>
        </w:rPr>
        <w:t>。</w:t>
      </w:r>
    </w:p>
    <w:p>
      <w:pPr>
        <w:pStyle w:val="98"/>
        <w:ind w:firstLine="560"/>
      </w:pPr>
      <w:r>
        <w:rPr>
          <w:rFonts w:hint="eastAsia"/>
        </w:rPr>
        <w:t>设计斜坡道和回风斜井两个以上独立的直达地面的安全出口，两个安全出口之间最近距离67m。</w:t>
      </w:r>
    </w:p>
    <w:p>
      <w:pPr>
        <w:pStyle w:val="6"/>
        <w:ind w:firstLine="562" w:firstLineChars="200"/>
        <w:rPr>
          <w:rFonts w:hint="default"/>
        </w:rPr>
      </w:pPr>
      <w:bookmarkStart w:id="209" w:name="_Toc146115723"/>
      <w:bookmarkStart w:id="210" w:name="_Toc146115806"/>
      <w:bookmarkStart w:id="211" w:name="_Toc142406894"/>
      <w:bookmarkStart w:id="212" w:name="_Toc259351716"/>
      <w:r>
        <w:t>3.</w:t>
      </w:r>
      <w:bookmarkEnd w:id="209"/>
      <w:bookmarkEnd w:id="210"/>
      <w:bookmarkEnd w:id="211"/>
      <w:bookmarkEnd w:id="212"/>
      <w:bookmarkStart w:id="213" w:name="_Toc259351720"/>
      <w:bookmarkStart w:id="214" w:name="_Toc146115727"/>
      <w:bookmarkStart w:id="215" w:name="_Toc142406898"/>
      <w:bookmarkStart w:id="216" w:name="_Toc146115810"/>
      <w:r>
        <w:t>运输系统</w:t>
      </w:r>
    </w:p>
    <w:p>
      <w:pPr>
        <w:pStyle w:val="98"/>
        <w:ind w:firstLine="560"/>
      </w:pPr>
      <w:r>
        <w:rPr>
          <w:rFonts w:hint="eastAsia"/>
        </w:rPr>
        <w:t>(1) 运输系统</w:t>
      </w:r>
    </w:p>
    <w:p>
      <w:pPr>
        <w:pStyle w:val="98"/>
        <w:ind w:firstLine="560"/>
      </w:pPr>
      <w:r>
        <w:rPr>
          <w:rFonts w:hint="eastAsia"/>
        </w:rPr>
        <w:t>矿山采用无轨运输方式。</w:t>
      </w:r>
    </w:p>
    <w:p>
      <w:pPr>
        <w:pStyle w:val="98"/>
        <w:ind w:firstLine="560"/>
      </w:pPr>
      <w:r>
        <w:rPr>
          <w:rFonts w:hint="eastAsia"/>
        </w:rPr>
        <w:t>井下采场崩落下的矿石经</w:t>
      </w:r>
      <w:r>
        <w:t>ZL</w:t>
      </w:r>
      <w:r>
        <w:rPr>
          <w:rFonts w:hint="eastAsia"/>
        </w:rPr>
        <w:t>2</w:t>
      </w:r>
      <w:r>
        <w:t>0</w:t>
      </w:r>
      <w:r>
        <w:rPr>
          <w:rFonts w:hint="eastAsia"/>
        </w:rPr>
        <w:t>E</w:t>
      </w:r>
      <w:r>
        <w:t>型装载机</w:t>
      </w:r>
      <w:r>
        <w:rPr>
          <w:rFonts w:hint="eastAsia"/>
        </w:rPr>
        <w:t>装入UQ-5型井下专用</w:t>
      </w:r>
      <w:r>
        <w:t>自卸</w:t>
      </w:r>
      <w:r>
        <w:rPr>
          <w:rFonts w:hint="eastAsia"/>
        </w:rPr>
        <w:t>汽车，经中段运输巷道，斜坡道运至地表选厂。</w:t>
      </w:r>
    </w:p>
    <w:p>
      <w:pPr>
        <w:pStyle w:val="98"/>
        <w:ind w:firstLine="560"/>
      </w:pPr>
      <w:r>
        <w:rPr>
          <w:rFonts w:hint="eastAsia"/>
        </w:rPr>
        <w:t>井下基建期产生的废石</w:t>
      </w:r>
      <w:bookmarkStart w:id="217" w:name="_Hlk184816472"/>
      <w:r>
        <w:rPr>
          <w:rFonts w:hint="eastAsia"/>
        </w:rPr>
        <w:t>由装载机装入矿用无轨运输车辆，经中段运输巷、斜坡道运至地表。基建期产生的废石由装载机装入矿用无轨运输车辆，经中段运输巷和斜坡道运至地表回填地表沟谷；生产期产生的废石用于充填生产形成的采空区。</w:t>
      </w:r>
      <w:bookmarkEnd w:id="217"/>
    </w:p>
    <w:p>
      <w:pPr>
        <w:pStyle w:val="98"/>
        <w:ind w:firstLine="560"/>
      </w:pPr>
      <w:r>
        <w:rPr>
          <w:rFonts w:hint="eastAsia"/>
        </w:rPr>
        <w:t>方案</w:t>
      </w:r>
      <w:r>
        <w:t>设计</w:t>
      </w:r>
      <w:r>
        <w:rPr>
          <w:rFonts w:hint="eastAsia"/>
        </w:rPr>
        <w:t>选用2</w:t>
      </w:r>
      <w:r>
        <w:t>台(其中</w:t>
      </w:r>
      <w:r>
        <w:rPr>
          <w:rFonts w:hint="eastAsia"/>
        </w:rPr>
        <w:t>1</w:t>
      </w:r>
      <w:r>
        <w:t>用</w:t>
      </w:r>
      <w:r>
        <w:rPr>
          <w:rFonts w:hint="eastAsia"/>
        </w:rPr>
        <w:t>1</w:t>
      </w:r>
      <w:r>
        <w:t>备)ZL</w:t>
      </w:r>
      <w:r>
        <w:rPr>
          <w:rFonts w:hint="eastAsia"/>
        </w:rPr>
        <w:t>2</w:t>
      </w:r>
      <w:r>
        <w:t>0</w:t>
      </w:r>
      <w:r>
        <w:rPr>
          <w:rFonts w:hint="eastAsia"/>
        </w:rPr>
        <w:t>E</w:t>
      </w:r>
      <w:r>
        <w:t>型装载机，</w:t>
      </w:r>
      <w:r>
        <w:rPr>
          <w:rFonts w:hint="eastAsia"/>
        </w:rPr>
        <w:t>铲斗容量为1m</w:t>
      </w:r>
      <w:r>
        <w:rPr>
          <w:rFonts w:hint="eastAsia"/>
          <w:vertAlign w:val="superscript"/>
        </w:rPr>
        <w:t>3</w:t>
      </w:r>
      <w:r>
        <w:rPr>
          <w:rFonts w:hint="eastAsia"/>
        </w:rPr>
        <w:t>，额定功率66kW，外型尺寸(长×宽×高)：5840×2160×2180mm，最小转弯半径为5.5m。可以满足年装载矿岩量2.97万t的需求。该装载机质量可靠，经安全认证，有矿用产品安全标志证书，故障率低，装载机装有尾气净化装置。车辆内随车配备两个5kg干粉灭火器。</w:t>
      </w:r>
    </w:p>
    <w:p>
      <w:pPr>
        <w:pStyle w:val="98"/>
        <w:ind w:firstLine="560"/>
      </w:pPr>
      <w:r>
        <w:rPr>
          <w:rFonts w:hint="eastAsia"/>
        </w:rPr>
        <w:t>方案</w:t>
      </w:r>
      <w:r>
        <w:t>设计</w:t>
      </w:r>
      <w:r>
        <w:rPr>
          <w:rFonts w:hint="eastAsia"/>
        </w:rPr>
        <w:t>2台(1用1备)UQ-10型井下矿用无轨运输车辆，可以满足年运输矿岩量2.97万t的需求，额定载重10t，额定功率88kW，外形尺寸(长×宽×高)4800×1800×2100mm。矿用无轨运输车辆应具备先进、安全可靠性，灯光系统、警报系统、尾气排放能够达到标准要求，无轨运输设备应采用湿式制动并取得矿用产品安全标志。</w:t>
      </w:r>
    </w:p>
    <w:p>
      <w:pPr>
        <w:pStyle w:val="98"/>
        <w:ind w:firstLine="560"/>
      </w:pPr>
      <w:r>
        <w:t>本矿入井人员乘坐RU-</w:t>
      </w:r>
      <w:r>
        <w:rPr>
          <w:rFonts w:hint="eastAsia"/>
        </w:rPr>
        <w:t>6型</w:t>
      </w:r>
      <w:r>
        <w:t>无轨人车，禁止搭乘其它车辆入井</w:t>
      </w:r>
      <w:r>
        <w:rPr>
          <w:rFonts w:hint="eastAsia"/>
        </w:rPr>
        <w:t>。</w:t>
      </w:r>
      <w:bookmarkStart w:id="218" w:name="_Hlk184816638"/>
      <w:r>
        <w:rPr>
          <w:rFonts w:hint="eastAsia"/>
        </w:rPr>
        <w:t>设计选用2辆RU-6型无轨人车,1用1备，每辆额定载人6人，爬坡能力14°，最小转弯半径外缘7.2m，发动机功率95kW，湿式制动，外形尺寸(长×宽×高)：4950×1800×2020mm，人车具备矿用产品安全标志证书。</w:t>
      </w:r>
      <w:bookmarkEnd w:id="218"/>
    </w:p>
    <w:p>
      <w:pPr>
        <w:pStyle w:val="6"/>
        <w:ind w:firstLine="562" w:firstLineChars="200"/>
        <w:rPr>
          <w:rFonts w:hint="default"/>
        </w:rPr>
      </w:pPr>
      <w:r>
        <w:t>4.排水</w:t>
      </w:r>
      <w:bookmarkEnd w:id="213"/>
      <w:bookmarkEnd w:id="214"/>
      <w:bookmarkEnd w:id="215"/>
      <w:bookmarkEnd w:id="216"/>
      <w:r>
        <w:t>系统</w:t>
      </w:r>
    </w:p>
    <w:p>
      <w:pPr>
        <w:pStyle w:val="98"/>
        <w:ind w:firstLine="560"/>
      </w:pPr>
      <w:r>
        <w:rPr>
          <w:rFonts w:hint="eastAsia"/>
        </w:rPr>
        <w:t xml:space="preserve">(1) </w:t>
      </w:r>
      <w:r>
        <w:t>矿坑涌水量</w:t>
      </w:r>
    </w:p>
    <w:p>
      <w:pPr>
        <w:pStyle w:val="98"/>
        <w:ind w:firstLine="560"/>
        <w:rPr>
          <w:rFonts w:hAnsi="宋体"/>
        </w:rPr>
      </w:pPr>
      <w:r>
        <w:rPr>
          <w:rFonts w:hint="eastAsia" w:hAnsi="宋体"/>
        </w:rPr>
        <w:t>根据</w:t>
      </w:r>
      <w:r>
        <w:rPr>
          <w:rFonts w:hAnsi="宋体"/>
        </w:rPr>
        <w:t>《</w:t>
      </w:r>
      <w:r>
        <w:rPr>
          <w:rFonts w:hint="eastAsia"/>
        </w:rPr>
        <w:t>辽宁省调兵山市泉眼沟矿区硅灰石矿补充勘探报告</w:t>
      </w:r>
      <w:r>
        <w:rPr>
          <w:rFonts w:hAnsi="宋体"/>
        </w:rPr>
        <w:t>》</w:t>
      </w:r>
      <w:r>
        <w:rPr>
          <w:rFonts w:hint="eastAsia" w:hAnsi="宋体"/>
        </w:rPr>
        <w:t>和现场实测可知，</w:t>
      </w:r>
      <w:r>
        <w:rPr>
          <w:rFonts w:hAnsi="宋体"/>
        </w:rPr>
        <w:t>矿井正常涌水量为</w:t>
      </w:r>
      <w:r>
        <w:rPr>
          <w:rFonts w:hint="eastAsia" w:hAnsi="宋体"/>
        </w:rPr>
        <w:t>220m</w:t>
      </w:r>
      <w:r>
        <w:rPr>
          <w:rFonts w:hint="eastAsia" w:hAnsi="宋体"/>
          <w:vertAlign w:val="superscript"/>
        </w:rPr>
        <w:t>3</w:t>
      </w:r>
      <w:r>
        <w:rPr>
          <w:rFonts w:hint="eastAsia" w:hAnsi="宋体"/>
        </w:rPr>
        <w:t>/d，</w:t>
      </w:r>
      <w:r>
        <w:rPr>
          <w:rFonts w:hAnsi="宋体"/>
        </w:rPr>
        <w:t>最大涌水量为</w:t>
      </w:r>
      <w:r>
        <w:rPr>
          <w:rFonts w:hint="eastAsia" w:hAnsi="宋体"/>
        </w:rPr>
        <w:t>658</w:t>
      </w:r>
      <w:r>
        <w:rPr>
          <w:rFonts w:hAnsi="宋体"/>
        </w:rPr>
        <w:t>m</w:t>
      </w:r>
      <w:r>
        <w:rPr>
          <w:rFonts w:hAnsi="宋体"/>
          <w:vertAlign w:val="superscript"/>
        </w:rPr>
        <w:t>3</w:t>
      </w:r>
      <w:r>
        <w:rPr>
          <w:rFonts w:hAnsi="宋体"/>
        </w:rPr>
        <w:t>/d</w:t>
      </w:r>
      <w:r>
        <w:rPr>
          <w:rFonts w:hint="eastAsia" w:hAnsi="宋体"/>
        </w:rPr>
        <w:t>。</w:t>
      </w:r>
    </w:p>
    <w:p>
      <w:pPr>
        <w:pStyle w:val="98"/>
        <w:ind w:firstLine="560"/>
        <w:rPr>
          <w:rFonts w:hAnsi="宋体"/>
        </w:rPr>
      </w:pPr>
      <w:r>
        <w:rPr>
          <w:rFonts w:hint="eastAsia" w:hAnsi="宋体"/>
        </w:rPr>
        <w:t>考虑井下生产循环水量、考虑地表降雨渗入量、井下生产污水量后，矿井正常涌水量：50.69</w:t>
      </w:r>
      <w:r>
        <w:rPr>
          <w:rFonts w:hAnsi="宋体"/>
        </w:rPr>
        <w:t>+</w:t>
      </w:r>
      <w:r>
        <w:rPr>
          <w:rFonts w:hint="eastAsia" w:hAnsi="宋体"/>
        </w:rPr>
        <w:t>220</w:t>
      </w:r>
      <w:r>
        <w:rPr>
          <w:rFonts w:hAnsi="宋体"/>
        </w:rPr>
        <w:t>+</w:t>
      </w:r>
      <w:r>
        <w:rPr>
          <w:rFonts w:hint="eastAsia" w:hAnsi="宋体"/>
        </w:rPr>
        <w:t>1</w:t>
      </w:r>
      <w:r>
        <w:rPr>
          <w:rFonts w:hAnsi="宋体"/>
        </w:rPr>
        <w:t>0=</w:t>
      </w:r>
      <w:r>
        <w:rPr>
          <w:rFonts w:hint="eastAsia" w:hAnsi="宋体"/>
        </w:rPr>
        <w:t>342</w:t>
      </w:r>
      <w:r>
        <w:rPr>
          <w:rFonts w:hAnsi="宋体"/>
        </w:rPr>
        <w:t>m</w:t>
      </w:r>
      <w:r>
        <w:rPr>
          <w:rFonts w:hAnsi="宋体"/>
          <w:vertAlign w:val="superscript"/>
        </w:rPr>
        <w:t>3</w:t>
      </w:r>
      <w:r>
        <w:rPr>
          <w:rFonts w:hAnsi="宋体"/>
        </w:rPr>
        <w:t>/d</w:t>
      </w:r>
      <w:r>
        <w:rPr>
          <w:rFonts w:hint="eastAsia" w:hAnsi="宋体"/>
        </w:rPr>
        <w:t>；最大涌水量：75.58+658+10</w:t>
      </w:r>
      <w:r>
        <w:rPr>
          <w:rFonts w:hAnsi="宋体"/>
        </w:rPr>
        <w:t>=</w:t>
      </w:r>
      <w:r>
        <w:rPr>
          <w:rFonts w:hint="eastAsia" w:hAnsi="宋体"/>
        </w:rPr>
        <w:t>743.58</w:t>
      </w:r>
      <w:r>
        <w:rPr>
          <w:rFonts w:hAnsi="宋体"/>
        </w:rPr>
        <w:t>m</w:t>
      </w:r>
      <w:r>
        <w:rPr>
          <w:rFonts w:hAnsi="宋体"/>
          <w:vertAlign w:val="superscript"/>
        </w:rPr>
        <w:t>3</w:t>
      </w:r>
      <w:r>
        <w:rPr>
          <w:rFonts w:hAnsi="宋体"/>
        </w:rPr>
        <w:t>/d。</w:t>
      </w:r>
    </w:p>
    <w:p>
      <w:pPr>
        <w:pStyle w:val="98"/>
        <w:ind w:firstLine="560"/>
        <w:rPr>
          <w:rFonts w:hAnsi="宋体"/>
        </w:rPr>
      </w:pPr>
      <w:r>
        <w:rPr>
          <w:rFonts w:hint="eastAsia" w:hAnsi="宋体"/>
        </w:rPr>
        <w:t>方案设计矿山采用一段直排水方式，在最低开采水平45m中段设置泵房及水仓，45m中段以上的积水通过泄水孔下泄至45m中段水仓内，通过管子斜巷、人行通风天井及斜坡道敷设的排水管路将井下涌水排至地表高位水池。</w:t>
      </w:r>
    </w:p>
    <w:p>
      <w:pPr>
        <w:pStyle w:val="98"/>
        <w:ind w:firstLine="560"/>
      </w:pPr>
      <w:bookmarkStart w:id="219" w:name="_Toc325529021"/>
      <w:r>
        <w:rPr>
          <w:rFonts w:hint="eastAsia"/>
        </w:rPr>
        <w:t>(2) 排水系统</w:t>
      </w:r>
    </w:p>
    <w:p>
      <w:pPr>
        <w:pStyle w:val="98"/>
        <w:ind w:firstLine="560"/>
      </w:pPr>
      <w:r>
        <w:t>开采时，</w:t>
      </w:r>
      <w:r>
        <w:rPr>
          <w:rFonts w:hint="eastAsia"/>
        </w:rPr>
        <w:t>泵房及水仓布置在45m中段中部，</w:t>
      </w:r>
      <w:r>
        <w:t>泵房底板Z=</w:t>
      </w:r>
      <w:r>
        <w:rPr>
          <w:rFonts w:hint="eastAsia"/>
        </w:rPr>
        <w:t>45.5m</w:t>
      </w:r>
      <w:r>
        <w:t>，高</w:t>
      </w:r>
      <w:r>
        <w:rPr>
          <w:rFonts w:hint="eastAsia"/>
        </w:rPr>
        <w:t>高出该中段车场巷道底板0.5m</w:t>
      </w:r>
      <w:r>
        <w:t>。水仓布置在水泵房的一侧，主副水仓入口直接与</w:t>
      </w:r>
      <w:r>
        <w:rPr>
          <w:rFonts w:hint="eastAsia"/>
        </w:rPr>
        <w:t>45m中段</w:t>
      </w:r>
      <w:r>
        <w:t>相连，且入口为</w:t>
      </w:r>
      <w:r>
        <w:rPr>
          <w:rFonts w:hint="eastAsia"/>
        </w:rPr>
        <w:t>45m中段</w:t>
      </w:r>
      <w:r>
        <w:t>的最低点，</w:t>
      </w:r>
      <w:r>
        <w:rPr>
          <w:rFonts w:hint="eastAsia"/>
        </w:rPr>
        <w:t>另一出口通过管子斜道与回风斜井相通，连接平台处高出水泵硐室地面</w:t>
      </w:r>
      <w:r>
        <w:t>7m</w:t>
      </w:r>
      <w:r>
        <w:rPr>
          <w:rFonts w:hint="eastAsia"/>
        </w:rPr>
        <w:t>以上。</w:t>
      </w:r>
    </w:p>
    <w:p>
      <w:pPr>
        <w:pStyle w:val="98"/>
        <w:ind w:firstLine="560"/>
      </w:pPr>
      <w:r>
        <w:rPr>
          <w:rFonts w:hint="eastAsia"/>
        </w:rPr>
        <w:t xml:space="preserve">(3) </w:t>
      </w:r>
      <w:r>
        <w:t>水泵选择</w:t>
      </w:r>
    </w:p>
    <w:p>
      <w:pPr>
        <w:pStyle w:val="98"/>
        <w:ind w:firstLine="560"/>
      </w:pPr>
      <w:r>
        <w:rPr>
          <w:rFonts w:hint="eastAsia"/>
        </w:rPr>
        <w:t>按正常涌水量确定排水设备所必需的排水能力：</w:t>
      </w:r>
    </w:p>
    <w:p>
      <w:pPr>
        <w:pStyle w:val="98"/>
        <w:ind w:firstLine="560"/>
      </w:pPr>
      <m:oMathPara>
        <m:oMath>
          <m:sSup>
            <m:sSupPr>
              <m:ctrlPr>
                <w:rPr>
                  <w:rFonts w:ascii="Cambria Math" w:hAnsi="Cambria Math"/>
                </w:rPr>
              </m:ctrlPr>
            </m:sSupPr>
            <m:e>
              <m:r>
                <m:rPr>
                  <m:sty m:val="p"/>
                </m:rPr>
                <w:rPr>
                  <w:rFonts w:hint="eastAsia" w:ascii="Cambria Math" w:hAnsi="Cambria Math"/>
                </w:rPr>
                <m:t>Q</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hint="eastAsia" w:ascii="Cambria Math" w:hAnsi="Cambria Math"/>
            </w:rPr>
            <m:t>=</m:t>
          </m:r>
          <m:f>
            <m:fPr>
              <m:ctrlPr>
                <w:rPr>
                  <w:rFonts w:ascii="Cambria Math" w:hAnsi="Cambria Math"/>
                </w:rPr>
              </m:ctrlPr>
            </m:fPr>
            <m:num>
              <m:sSub>
                <m:sSubPr>
                  <m:ctrlPr>
                    <w:rPr>
                      <w:rFonts w:ascii="Cambria Math" w:hAnsi="Cambria Math"/>
                    </w:rPr>
                  </m:ctrlPr>
                </m:sSubPr>
                <m:e>
                  <m:r>
                    <m:rPr>
                      <m:sty m:val="p"/>
                    </m:rPr>
                    <w:rPr>
                      <w:rFonts w:hint="eastAsia" w:ascii="Cambria Math" w:hAnsi="Cambria Math"/>
                    </w:rPr>
                    <m:t>Q</m:t>
                  </m:r>
                  <m:ctrlPr>
                    <w:rPr>
                      <w:rFonts w:ascii="Cambria Math" w:hAnsi="Cambria Math"/>
                    </w:rPr>
                  </m:ctrlPr>
                </m:e>
                <m:sub>
                  <m:r>
                    <m:rPr>
                      <m:sty m:val="p"/>
                    </m:rPr>
                    <w:rPr>
                      <w:rFonts w:hint="eastAsia" w:ascii="Cambria Math" w:hAnsi="Cambria Math"/>
                    </w:rPr>
                    <m:t>zh</m:t>
                  </m:r>
                  <m:ctrlPr>
                    <w:rPr>
                      <w:rFonts w:ascii="Cambria Math" w:hAnsi="Cambria Math"/>
                    </w:rPr>
                  </m:ctrlPr>
                </m:sub>
              </m:sSub>
              <m:ctrlPr>
                <w:rPr>
                  <w:rFonts w:ascii="Cambria Math" w:hAnsi="Cambria Math"/>
                </w:rPr>
              </m:ctrlPr>
            </m:num>
            <m:den>
              <m:r>
                <m:rPr>
                  <m:sty m:val="p"/>
                </m:rPr>
                <w:rPr>
                  <w:rFonts w:hint="eastAsia" w:ascii="Cambria Math" w:hAnsi="Cambria Math"/>
                </w:rPr>
                <m:t>20</m:t>
              </m:r>
              <m:ctrlPr>
                <w:rPr>
                  <w:rFonts w:ascii="Cambria Math" w:hAnsi="Cambria Math"/>
                </w:rPr>
              </m:ctrlPr>
            </m:den>
          </m:f>
          <m:r>
            <m:rPr>
              <m:sty m:val="p"/>
            </m:rPr>
            <w:rPr>
              <w:rFonts w:hint="eastAsia" w:ascii="Cambria Math" w:hAnsi="Cambria Math"/>
            </w:rPr>
            <m:t>=</m:t>
          </m:r>
          <m:f>
            <m:fPr>
              <m:ctrlPr>
                <w:rPr>
                  <w:rFonts w:ascii="Cambria Math" w:hAnsi="Cambria Math"/>
                </w:rPr>
              </m:ctrlPr>
            </m:fPr>
            <m:num>
              <m:r>
                <m:rPr>
                  <m:sty m:val="p"/>
                </m:rPr>
                <w:rPr>
                  <w:rFonts w:hint="eastAsia" w:ascii="Cambria Math" w:hAnsi="Cambria Math"/>
                </w:rPr>
                <m:t>280.69</m:t>
              </m:r>
              <m:ctrlPr>
                <w:rPr>
                  <w:rFonts w:ascii="Cambria Math" w:hAnsi="Cambria Math"/>
                </w:rPr>
              </m:ctrlPr>
            </m:num>
            <m:den>
              <m:r>
                <m:rPr>
                  <m:sty m:val="p"/>
                </m:rPr>
                <w:rPr>
                  <w:rFonts w:hint="eastAsia" w:ascii="Cambria Math" w:hAnsi="Cambria Math"/>
                </w:rPr>
                <m:t>20</m:t>
              </m:r>
              <m:ctrlPr>
                <w:rPr>
                  <w:rFonts w:ascii="Cambria Math" w:hAnsi="Cambria Math"/>
                </w:rPr>
              </m:ctrlPr>
            </m:den>
          </m:f>
          <m:r>
            <m:rPr>
              <m:sty m:val="p"/>
            </m:rPr>
            <w:rPr>
              <w:rFonts w:hint="eastAsia" w:ascii="Cambria Math" w:hAnsi="Cambria Math"/>
            </w:rPr>
            <m:t>=14.1</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r>
                <m:rPr>
                  <m:sty m:val="p"/>
                </m:rPr>
                <w:rPr>
                  <w:rFonts w:hint="eastAsia" w:ascii="Cambria Math" w:hAnsi="Cambria Math"/>
                </w:rPr>
                <m:t>3</m:t>
              </m:r>
              <m:ctrlPr>
                <w:rPr>
                  <w:rFonts w:ascii="Cambria Math" w:hAnsi="Cambria Math"/>
                </w:rPr>
              </m:ctrlPr>
            </m:sup>
          </m:sSup>
          <m:r>
            <m:rPr>
              <m:sty m:val="p"/>
            </m:rPr>
            <w:rPr>
              <w:rFonts w:hint="eastAsia" w:ascii="Cambria Math" w:hAnsi="Cambria Math"/>
            </w:rPr>
            <m:t>/h</m:t>
          </m:r>
        </m:oMath>
      </m:oMathPara>
    </w:p>
    <w:p>
      <w:pPr>
        <w:pStyle w:val="98"/>
        <w:ind w:firstLine="560"/>
      </w:pPr>
      <w:r>
        <w:rPr>
          <w:rFonts w:hint="eastAsia"/>
        </w:rPr>
        <w:t>式中：Qzh—矿井涌水量，m</w:t>
      </w:r>
      <w:r>
        <w:rPr>
          <w:rFonts w:hint="eastAsia"/>
          <w:vertAlign w:val="superscript"/>
        </w:rPr>
        <w:t>3</w:t>
      </w:r>
      <w:r>
        <w:rPr>
          <w:rFonts w:hint="eastAsia"/>
        </w:rPr>
        <w:t>/d；</w:t>
      </w:r>
    </w:p>
    <w:p>
      <w:pPr>
        <w:pStyle w:val="98"/>
        <w:ind w:firstLine="1400" w:firstLineChars="500"/>
      </w:pPr>
      <w:r>
        <w:rPr>
          <w:rFonts w:hint="eastAsia"/>
        </w:rPr>
        <w:t>Q`—正常涌水期间排水设备所必须的排水能力，m</w:t>
      </w:r>
      <w:r>
        <w:rPr>
          <w:rFonts w:hint="eastAsia"/>
          <w:vertAlign w:val="superscript"/>
        </w:rPr>
        <w:t>3</w:t>
      </w:r>
      <w:r>
        <w:rPr>
          <w:rFonts w:hint="eastAsia"/>
        </w:rPr>
        <w:t>/h。</w:t>
      </w:r>
    </w:p>
    <w:p>
      <w:pPr>
        <w:pStyle w:val="98"/>
        <w:ind w:firstLine="560"/>
      </w:pPr>
      <w:r>
        <w:rPr>
          <w:rFonts w:hint="eastAsia"/>
        </w:rPr>
        <w:t>按最大涌水量确定排水设备所必需的排水能力：</w:t>
      </w:r>
    </w:p>
    <w:p>
      <w:pPr>
        <w:pStyle w:val="98"/>
        <w:ind w:firstLine="560"/>
      </w:pPr>
      <m:oMathPara>
        <m:oMath>
          <m:sSup>
            <m:sSupPr>
              <m:ctrlPr>
                <w:rPr>
                  <w:rFonts w:ascii="Cambria Math" w:hAnsi="Cambria Math"/>
                </w:rPr>
              </m:ctrlPr>
            </m:sSupPr>
            <m:e>
              <m:r>
                <m:rPr>
                  <m:sty m:val="p"/>
                </m:rPr>
                <w:rPr>
                  <w:rFonts w:hint="eastAsia" w:ascii="Cambria Math" w:hAnsi="Cambria Math"/>
                </w:rPr>
                <m:t>Q</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hint="eastAsia" w:ascii="Cambria Math" w:hAnsi="Cambria Math"/>
            </w:rPr>
            <m:t>=</m:t>
          </m:r>
          <m:f>
            <m:fPr>
              <m:ctrlPr>
                <w:rPr>
                  <w:rFonts w:ascii="Cambria Math" w:hAnsi="Cambria Math"/>
                </w:rPr>
              </m:ctrlPr>
            </m:fPr>
            <m:num>
              <m:sSub>
                <m:sSubPr>
                  <m:ctrlPr>
                    <w:rPr>
                      <w:rFonts w:ascii="Cambria Math" w:hAnsi="Cambria Math"/>
                    </w:rPr>
                  </m:ctrlPr>
                </m:sSubPr>
                <m:e>
                  <m:r>
                    <m:rPr>
                      <m:sty m:val="p"/>
                    </m:rPr>
                    <w:rPr>
                      <w:rFonts w:hint="eastAsia" w:ascii="Cambria Math" w:hAnsi="Cambria Math"/>
                    </w:rPr>
                    <m:t>Q</m:t>
                  </m:r>
                  <m:ctrlPr>
                    <w:rPr>
                      <w:rFonts w:ascii="Cambria Math" w:hAnsi="Cambria Math"/>
                    </w:rPr>
                  </m:ctrlPr>
                </m:e>
                <m:sub>
                  <m:r>
                    <m:rPr>
                      <m:sty m:val="p"/>
                    </m:rPr>
                    <w:rPr>
                      <w:rFonts w:hint="eastAsia" w:ascii="Cambria Math" w:hAnsi="Cambria Math"/>
                    </w:rPr>
                    <m:t>zh</m:t>
                  </m:r>
                  <m:ctrlPr>
                    <w:rPr>
                      <w:rFonts w:ascii="Cambria Math" w:hAnsi="Cambria Math"/>
                    </w:rPr>
                  </m:ctrlPr>
                </m:sub>
              </m:sSub>
              <m:ctrlPr>
                <w:rPr>
                  <w:rFonts w:ascii="Cambria Math" w:hAnsi="Cambria Math"/>
                </w:rPr>
              </m:ctrlPr>
            </m:num>
            <m:den>
              <m:r>
                <m:rPr>
                  <m:sty m:val="p"/>
                </m:rPr>
                <w:rPr>
                  <w:rFonts w:hint="eastAsia" w:ascii="Cambria Math" w:hAnsi="Cambria Math"/>
                </w:rPr>
                <m:t>20×2</m:t>
              </m:r>
              <m:ctrlPr>
                <w:rPr>
                  <w:rFonts w:ascii="Cambria Math" w:hAnsi="Cambria Math"/>
                </w:rPr>
              </m:ctrlPr>
            </m:den>
          </m:f>
          <m:r>
            <m:rPr>
              <m:sty m:val="p"/>
            </m:rPr>
            <w:rPr>
              <w:rFonts w:hint="eastAsia" w:ascii="Cambria Math" w:hAnsi="Cambria Math"/>
            </w:rPr>
            <m:t>=</m:t>
          </m:r>
          <m:f>
            <m:fPr>
              <m:ctrlPr>
                <w:rPr>
                  <w:rFonts w:ascii="Cambria Math" w:hAnsi="Cambria Math"/>
                </w:rPr>
              </m:ctrlPr>
            </m:fPr>
            <m:num>
              <m:r>
                <m:rPr>
                  <m:sty m:val="p"/>
                </m:rPr>
                <w:rPr>
                  <w:rFonts w:hint="eastAsia" w:ascii="Cambria Math" w:hAnsi="Cambria Math"/>
                </w:rPr>
                <m:t>743.58</m:t>
              </m:r>
              <m:ctrlPr>
                <w:rPr>
                  <w:rFonts w:ascii="Cambria Math" w:hAnsi="Cambria Math"/>
                </w:rPr>
              </m:ctrlPr>
            </m:num>
            <m:den>
              <m:r>
                <m:rPr>
                  <m:sty m:val="p"/>
                </m:rPr>
                <w:rPr>
                  <w:rFonts w:hint="eastAsia" w:ascii="Cambria Math" w:hAnsi="Cambria Math"/>
                </w:rPr>
                <m:t>20×2</m:t>
              </m:r>
              <m:ctrlPr>
                <w:rPr>
                  <w:rFonts w:ascii="Cambria Math" w:hAnsi="Cambria Math"/>
                </w:rPr>
              </m:ctrlPr>
            </m:den>
          </m:f>
          <m:r>
            <m:rPr>
              <m:sty m:val="p"/>
            </m:rPr>
            <w:rPr>
              <w:rFonts w:hint="eastAsia" w:ascii="Cambria Math" w:hAnsi="Cambria Math"/>
            </w:rPr>
            <m:t>=18.6</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r>
                <m:rPr>
                  <m:sty m:val="p"/>
                </m:rPr>
                <w:rPr>
                  <w:rFonts w:hint="eastAsia" w:ascii="Cambria Math" w:hAnsi="Cambria Math"/>
                </w:rPr>
                <m:t>3</m:t>
              </m:r>
              <m:ctrlPr>
                <w:rPr>
                  <w:rFonts w:ascii="Cambria Math" w:hAnsi="Cambria Math"/>
                </w:rPr>
              </m:ctrlPr>
            </m:sup>
          </m:sSup>
          <m:r>
            <m:rPr>
              <m:sty m:val="p"/>
            </m:rPr>
            <w:rPr>
              <w:rFonts w:hint="eastAsia" w:ascii="Cambria Math" w:hAnsi="Cambria Math"/>
            </w:rPr>
            <m:t>/h</m:t>
          </m:r>
        </m:oMath>
      </m:oMathPara>
    </w:p>
    <w:p>
      <w:pPr>
        <w:pStyle w:val="98"/>
        <w:ind w:firstLine="560"/>
      </w:pPr>
      <w:r>
        <w:rPr>
          <w:rFonts w:hint="eastAsia"/>
        </w:rPr>
        <w:t>按排水高度估算排水设备所需要的扬程，自45m至166m高位水池，高位水池高度5m。</w:t>
      </w:r>
    </w:p>
    <w:p>
      <w:pPr>
        <w:pStyle w:val="98"/>
        <w:ind w:firstLine="560"/>
        <w:jc w:val="center"/>
      </w:pPr>
      <w:r>
        <w:rPr>
          <w:rFonts w:hint="eastAsia"/>
        </w:rPr>
        <w:t>H=1.1×(166+5)=188m</w:t>
      </w:r>
    </w:p>
    <w:p>
      <w:pPr>
        <w:pStyle w:val="98"/>
        <w:ind w:firstLine="560"/>
      </w:pPr>
      <w:r>
        <w:t>式中：H－计算水泵所需扬程；</w:t>
      </w:r>
    </w:p>
    <w:p>
      <w:pPr>
        <w:pStyle w:val="98"/>
        <w:ind w:firstLine="1414" w:firstLineChars="505"/>
      </w:pPr>
      <w:r>
        <w:t>K－扬程损失系数，取1.</w:t>
      </w:r>
      <w:r>
        <w:rPr>
          <w:rFonts w:hint="eastAsia"/>
        </w:rPr>
        <w:t>1</w:t>
      </w:r>
      <w:r>
        <w:t>；</w:t>
      </w:r>
    </w:p>
    <w:p>
      <w:pPr>
        <w:pStyle w:val="98"/>
        <w:ind w:firstLine="1414" w:firstLineChars="505"/>
      </w:pPr>
      <w:r>
        <w:t>Hp－一次排水高度。</w:t>
      </w:r>
    </w:p>
    <w:p>
      <w:pPr>
        <w:pStyle w:val="98"/>
        <w:ind w:firstLine="560"/>
      </w:pPr>
      <w:r>
        <w:rPr>
          <w:rFonts w:hint="eastAsia"/>
        </w:rPr>
        <w:t>本方案设计利用现有</w:t>
      </w:r>
      <w:r>
        <w:t>MD25-50</w:t>
      </w:r>
      <w:r>
        <w:rPr>
          <w:rFonts w:hint="eastAsia"/>
        </w:rPr>
        <w:t>×</w:t>
      </w:r>
      <w:r>
        <w:t>4</w:t>
      </w:r>
      <w:r>
        <w:rPr>
          <w:rFonts w:hint="eastAsia"/>
        </w:rPr>
        <w:t>型多级离心泵</w:t>
      </w:r>
      <w:r>
        <w:t>3</w:t>
      </w:r>
      <w:r>
        <w:rPr>
          <w:rFonts w:hint="eastAsia"/>
        </w:rPr>
        <w:t>台</w:t>
      </w:r>
      <w:r>
        <w:t>(</w:t>
      </w:r>
      <w:r>
        <w:rPr>
          <w:rFonts w:hint="eastAsia"/>
        </w:rPr>
        <w:t>要求有矿用安全标志</w:t>
      </w:r>
      <w:r>
        <w:t>)</w:t>
      </w:r>
      <w:r>
        <w:rPr>
          <w:rFonts w:hint="eastAsia"/>
        </w:rPr>
        <w:t>。正常涌水量时，1台工作，1台备用，1台检修；最大涌水量时，2台工作，1台备用。水泵参数：流量</w:t>
      </w:r>
      <w:r>
        <w:t>25m</w:t>
      </w:r>
      <w:r>
        <w:rPr>
          <w:vertAlign w:val="superscript"/>
        </w:rPr>
        <w:t>3</w:t>
      </w:r>
      <w:r>
        <w:t>/h</w:t>
      </w:r>
      <w:r>
        <w:rPr>
          <w:rFonts w:hint="eastAsia"/>
        </w:rPr>
        <w:t>，扬程</w:t>
      </w:r>
      <w:r>
        <w:t>200m</w:t>
      </w:r>
      <w:r>
        <w:rPr>
          <w:rFonts w:hint="eastAsia"/>
        </w:rPr>
        <w:t>，选择电机功率</w:t>
      </w:r>
      <w:r>
        <w:t>30kW</w:t>
      </w:r>
      <w:r>
        <w:rPr>
          <w:rFonts w:hint="eastAsia"/>
        </w:rPr>
        <w:t>，</w:t>
      </w:r>
      <w:r>
        <w:t>380V</w:t>
      </w:r>
      <w:r>
        <w:rPr>
          <w:rFonts w:hint="eastAsia"/>
        </w:rPr>
        <w:t>。回风斜井</w:t>
      </w:r>
      <w:r>
        <w:t>内设两</w:t>
      </w:r>
      <w:r>
        <w:rPr>
          <w:rFonts w:hint="eastAsia"/>
        </w:rPr>
        <w:t>条排水管路，两条Ф89×3.5mm无缝钢管排水管路，正常水量时一条工作，最大水量时两条同时工作</w:t>
      </w:r>
      <w:r>
        <w:t>。</w:t>
      </w:r>
    </w:p>
    <w:bookmarkEnd w:id="219"/>
    <w:p>
      <w:pPr>
        <w:pStyle w:val="6"/>
        <w:ind w:firstLine="562" w:firstLineChars="200"/>
        <w:rPr>
          <w:rFonts w:hint="default"/>
        </w:rPr>
      </w:pPr>
      <w:r>
        <w:t>5.通风系统</w:t>
      </w:r>
    </w:p>
    <w:p>
      <w:pPr>
        <w:pStyle w:val="98"/>
        <w:ind w:firstLine="560"/>
      </w:pPr>
      <w:r>
        <w:rPr>
          <w:rFonts w:hint="eastAsia"/>
        </w:rPr>
        <w:t>1) 矿井通风系统</w:t>
      </w:r>
    </w:p>
    <w:p>
      <w:pPr>
        <w:pStyle w:val="98"/>
        <w:ind w:firstLine="560"/>
      </w:pPr>
      <w:r>
        <w:rPr>
          <w:rFonts w:hint="eastAsia"/>
        </w:rPr>
        <w:t>采用抽出式通风系统，</w:t>
      </w:r>
      <w:r>
        <w:t>新鲜风流由</w:t>
      </w:r>
      <w:r>
        <w:rPr>
          <w:rFonts w:hint="eastAsia"/>
        </w:rPr>
        <w:t>斜坡道</w:t>
      </w:r>
      <w:r>
        <w:t>进入</w:t>
      </w:r>
      <w:r>
        <w:rPr>
          <w:rFonts w:hint="eastAsia"/>
        </w:rPr>
        <w:t>井下</w:t>
      </w:r>
      <w:r>
        <w:t>，经石门、中段运输巷道到达生产矿块，清洗工作面之后，由回风天井排至回风巷道，最后由</w:t>
      </w:r>
      <w:r>
        <w:rPr>
          <w:rFonts w:hint="eastAsia"/>
        </w:rPr>
        <w:t>回风斜井</w:t>
      </w:r>
      <w:r>
        <w:t>排至地表</w:t>
      </w:r>
      <w:r>
        <w:rPr>
          <w:rFonts w:hint="eastAsia"/>
        </w:rPr>
        <w:t>。</w:t>
      </w:r>
    </w:p>
    <w:p>
      <w:pPr>
        <w:pStyle w:val="98"/>
        <w:ind w:firstLine="560"/>
      </w:pPr>
      <w:r>
        <w:rPr>
          <w:rFonts w:hint="eastAsia"/>
        </w:rPr>
        <w:t>2) 风量及负压计算</w:t>
      </w:r>
    </w:p>
    <w:p>
      <w:pPr>
        <w:pStyle w:val="98"/>
        <w:ind w:firstLine="560"/>
      </w:pPr>
      <w:r>
        <w:rPr>
          <w:rFonts w:hint="eastAsia"/>
        </w:rPr>
        <w:t>(1) 按排尘风速要求计算</w:t>
      </w:r>
    </w:p>
    <w:p>
      <w:pPr>
        <w:pStyle w:val="98"/>
        <w:ind w:firstLine="560"/>
      </w:pPr>
      <w:r>
        <w:rPr>
          <w:rFonts w:hint="eastAsia"/>
        </w:rPr>
        <w:t>各硐室需风量按1.5m</w:t>
      </w:r>
      <w:r>
        <w:rPr>
          <w:rFonts w:hint="eastAsia"/>
          <w:vertAlign w:val="superscript"/>
        </w:rPr>
        <w:t>3</w:t>
      </w:r>
      <w:r>
        <w:rPr>
          <w:rFonts w:hint="eastAsia"/>
        </w:rPr>
        <w:t>/s考虑，各工作面需风量按最低排尘风速0.25m/s计算，装矿巷道及卸矿点按最低排尘风速0.5m/s计算。根据矿块生产能力确定矿山每天最多需生产矿块数1个，单班同时最多回采作业面1个，掘进工作面1个，备采工作面1个，装矿工作面1个。按排尘风速要求计算矿井风量</w:t>
      </w:r>
      <w:r>
        <w:rPr>
          <w:rFonts w:hint="eastAsia" w:ascii="仿宋" w:hAnsi="仿宋"/>
        </w:rPr>
        <w:t>21.5</w:t>
      </w:r>
      <w:r>
        <w:rPr>
          <w:rFonts w:hint="eastAsia"/>
        </w:rPr>
        <w:t>m</w:t>
      </w:r>
      <w:r>
        <w:rPr>
          <w:rFonts w:hint="eastAsia"/>
          <w:vertAlign w:val="superscript"/>
        </w:rPr>
        <w:t>3</w:t>
      </w:r>
      <w:r>
        <w:rPr>
          <w:rFonts w:hint="eastAsia"/>
        </w:rPr>
        <w:t>/s。</w:t>
      </w:r>
    </w:p>
    <w:p>
      <w:pPr>
        <w:pStyle w:val="98"/>
        <w:ind w:firstLine="560"/>
      </w:pPr>
      <w:r>
        <w:rPr>
          <w:rFonts w:hint="eastAsia"/>
        </w:rPr>
        <w:t xml:space="preserve">(2) </w:t>
      </w:r>
      <w:r>
        <w:t>按柴油机设备需风量计算风量</w:t>
      </w:r>
    </w:p>
    <w:p>
      <w:pPr>
        <w:pStyle w:val="98"/>
        <w:ind w:firstLine="560"/>
      </w:pPr>
      <w:r>
        <w:rPr>
          <w:rFonts w:hint="eastAsia"/>
        </w:rPr>
        <w:t>矿井开采柴油设备需要1台ZL20E型装载机，额定功率66kW；1台矿用无轨运输车辆，额定功率88kW；1台RU-6型无轨人车，额定功率95kW。同时作业最大功率每千瓦每分钟供风量4m</w:t>
      </w:r>
      <w:r>
        <w:rPr>
          <w:rFonts w:hint="eastAsia"/>
          <w:vertAlign w:val="superscript"/>
        </w:rPr>
        <w:t>3</w:t>
      </w:r>
      <w:r>
        <w:rPr>
          <w:rFonts w:hint="eastAsia"/>
        </w:rPr>
        <w:t>计算，柴油设备要求计算矿井风量为16.7m</w:t>
      </w:r>
      <w:r>
        <w:rPr>
          <w:rFonts w:hint="eastAsia"/>
          <w:vertAlign w:val="superscript"/>
        </w:rPr>
        <w:t>3</w:t>
      </w:r>
      <w:r>
        <w:rPr>
          <w:rFonts w:hint="eastAsia"/>
        </w:rPr>
        <w:t>/s。</w:t>
      </w:r>
    </w:p>
    <w:p>
      <w:pPr>
        <w:pStyle w:val="98"/>
        <w:ind w:firstLine="560"/>
      </w:pPr>
      <w:r>
        <w:rPr>
          <w:rFonts w:hint="eastAsia"/>
        </w:rPr>
        <w:t>(3) 井下最大同时作业人数计算总需风量</w:t>
      </w:r>
    </w:p>
    <w:p>
      <w:pPr>
        <w:pStyle w:val="98"/>
        <w:ind w:firstLine="560"/>
      </w:pPr>
      <w:r>
        <w:rPr>
          <w:rFonts w:hint="eastAsia"/>
        </w:rPr>
        <w:t>根据生产布局，根据井下同时作业面数，设计矿山井下最大同时作业人数为14人，则井下需风量为Q=14×4m</w:t>
      </w:r>
      <w:r>
        <w:rPr>
          <w:rFonts w:hint="eastAsia"/>
          <w:vertAlign w:val="superscript"/>
        </w:rPr>
        <w:t>3</w:t>
      </w:r>
      <w:r>
        <w:rPr>
          <w:rFonts w:hint="eastAsia"/>
        </w:rPr>
        <w:t>/min=0.93m</w:t>
      </w:r>
      <w:r>
        <w:rPr>
          <w:rFonts w:hint="eastAsia"/>
          <w:vertAlign w:val="superscript"/>
        </w:rPr>
        <w:t>3</w:t>
      </w:r>
      <w:r>
        <w:rPr>
          <w:rFonts w:hint="eastAsia"/>
        </w:rPr>
        <w:t>/s。</w:t>
      </w:r>
    </w:p>
    <w:p>
      <w:pPr>
        <w:pStyle w:val="98"/>
        <w:ind w:firstLine="560"/>
      </w:pPr>
      <w:r>
        <w:rPr>
          <w:rFonts w:hint="eastAsia"/>
        </w:rPr>
        <w:t>综上，矿井需风量取最大值21.5m</w:t>
      </w:r>
      <w:r>
        <w:rPr>
          <w:rFonts w:hint="eastAsia"/>
          <w:vertAlign w:val="superscript"/>
        </w:rPr>
        <w:t>3</w:t>
      </w:r>
      <w:r>
        <w:rPr>
          <w:rFonts w:hint="eastAsia"/>
        </w:rPr>
        <w:t>/s。</w:t>
      </w:r>
    </w:p>
    <w:p>
      <w:pPr>
        <w:pStyle w:val="98"/>
        <w:ind w:firstLine="560"/>
      </w:pPr>
      <w:r>
        <w:rPr>
          <w:rFonts w:hint="eastAsia"/>
        </w:rPr>
        <w:t>根据计算，需风量21.5m</w:t>
      </w:r>
      <w:r>
        <w:rPr>
          <w:rFonts w:hint="eastAsia"/>
          <w:vertAlign w:val="superscript"/>
        </w:rPr>
        <w:t>3</w:t>
      </w:r>
      <w:r>
        <w:rPr>
          <w:rFonts w:hint="eastAsia"/>
        </w:rPr>
        <w:t>/s，风井</w:t>
      </w:r>
      <w:r>
        <w:t>最困难时期负压为</w:t>
      </w:r>
      <w:r>
        <w:rPr>
          <w:rFonts w:hint="eastAsia"/>
        </w:rPr>
        <w:t>182.2Pa。本方案设计回风斜井选用一台FKZ№15/22型抽出式轴流通风机，风机风量12.5～28m</w:t>
      </w:r>
      <w:r>
        <w:rPr>
          <w:rFonts w:hint="eastAsia"/>
          <w:vertAlign w:val="superscript"/>
        </w:rPr>
        <w:t>3</w:t>
      </w:r>
      <w:r>
        <w:rPr>
          <w:rFonts w:hint="eastAsia"/>
        </w:rPr>
        <w:t>/s，风压150～860Pa，配套电机功率为22kW，电压为380V，转速为1480r/min。风机可反转反风，反风率不小于60%。主扇风机具有矿用产品安全标志证书。</w:t>
      </w:r>
    </w:p>
    <w:p>
      <w:pPr>
        <w:pStyle w:val="6"/>
        <w:ind w:firstLine="562" w:firstLineChars="200"/>
        <w:rPr>
          <w:rFonts w:hint="default"/>
        </w:rPr>
      </w:pPr>
      <w:r>
        <w:t>6.压气设施</w:t>
      </w:r>
    </w:p>
    <w:p>
      <w:pPr>
        <w:pStyle w:val="98"/>
        <w:ind w:firstLine="560"/>
      </w:pPr>
      <w:r>
        <w:t>在地面</w:t>
      </w:r>
      <w:r>
        <w:rPr>
          <w:rFonts w:hint="eastAsia"/>
        </w:rPr>
        <w:t>斜坡道工业场地设置</w:t>
      </w:r>
      <w:r>
        <w:t>一座空气压缩机站，供全矿风动工具用风需要</w:t>
      </w:r>
      <w:r>
        <w:rPr>
          <w:rFonts w:hint="eastAsia"/>
        </w:rPr>
        <w:t>。</w:t>
      </w:r>
      <w:bookmarkStart w:id="220" w:name="OLE_LINK322"/>
      <w:bookmarkStart w:id="221" w:name="OLE_LINK323"/>
      <w:r>
        <w:rPr>
          <w:rFonts w:hint="eastAsia"/>
        </w:rPr>
        <w:t>利用现有</w:t>
      </w:r>
      <w:bookmarkEnd w:id="220"/>
      <w:bookmarkEnd w:id="221"/>
      <w:r>
        <w:rPr>
          <w:rFonts w:hint="eastAsia"/>
        </w:rPr>
        <w:t>YT-28</w:t>
      </w:r>
      <w:r>
        <w:t>风动凿岩机</w:t>
      </w:r>
      <w:r>
        <w:rPr>
          <w:rFonts w:hint="eastAsia"/>
        </w:rPr>
        <w:t>2</w:t>
      </w:r>
      <w:r>
        <w:t>台，其中</w:t>
      </w:r>
      <w:r>
        <w:rPr>
          <w:rFonts w:hint="eastAsia"/>
        </w:rPr>
        <w:t>1</w:t>
      </w:r>
      <w:r>
        <w:t>台使用，</w:t>
      </w:r>
      <w:r>
        <w:rPr>
          <w:rFonts w:hint="eastAsia"/>
        </w:rPr>
        <w:t>1</w:t>
      </w:r>
      <w:r>
        <w:t>台备用，单台耗气量为3.2m</w:t>
      </w:r>
      <w:r>
        <w:rPr>
          <w:vertAlign w:val="superscript"/>
        </w:rPr>
        <w:t>3</w:t>
      </w:r>
      <w:r>
        <w:t>/min。</w:t>
      </w:r>
      <w:r>
        <w:rPr>
          <w:rFonts w:hint="eastAsia"/>
        </w:rPr>
        <w:t>利用现有DF10A-1BCD型凿岩台车1</w:t>
      </w:r>
      <w:r>
        <w:t>台。</w:t>
      </w:r>
    </w:p>
    <w:p>
      <w:pPr>
        <w:pStyle w:val="98"/>
        <w:ind w:firstLine="560"/>
      </w:pPr>
      <w:r>
        <w:rPr>
          <w:rFonts w:hint="eastAsia"/>
        </w:rPr>
        <w:t>本方案设计利用现有BK37-8G型空压机1台，单台供风量</w:t>
      </w:r>
      <w:r>
        <w:t>Q=</w:t>
      </w:r>
      <w:r>
        <w:rPr>
          <w:rFonts w:hint="eastAsia"/>
        </w:rPr>
        <w:t>6</w:t>
      </w:r>
      <w:r>
        <w:t>m</w:t>
      </w:r>
      <w:r>
        <w:rPr>
          <w:vertAlign w:val="superscript"/>
        </w:rPr>
        <w:t>3</w:t>
      </w:r>
      <w:r>
        <w:t>/min，排气压力0.</w:t>
      </w:r>
      <w:r>
        <w:rPr>
          <w:rFonts w:hint="eastAsia"/>
        </w:rPr>
        <w:t>8</w:t>
      </w:r>
      <w:r>
        <w:t>MPa，功率为</w:t>
      </w:r>
      <w:r>
        <w:rPr>
          <w:rFonts w:hint="eastAsia"/>
        </w:rPr>
        <w:t>37</w:t>
      </w:r>
      <w:r>
        <w:t>kW。</w:t>
      </w:r>
    </w:p>
    <w:p>
      <w:pPr>
        <w:pStyle w:val="6"/>
        <w:ind w:firstLine="562" w:firstLineChars="200"/>
        <w:rPr>
          <w:rFonts w:hint="default"/>
        </w:rPr>
      </w:pPr>
      <w:r>
        <w:t>7.采矿方法选择比较和初步确定</w:t>
      </w:r>
    </w:p>
    <w:p>
      <w:pPr>
        <w:pStyle w:val="98"/>
        <w:ind w:firstLine="560"/>
      </w:pPr>
      <w:r>
        <w:t>采矿方法的选取主要遵循以下原则：适应自动化水平高的采矿设备；适应矿体开采技术条件要求；符合矿山生产能力要求；回采工艺简单可靠，作业安全。</w:t>
      </w:r>
    </w:p>
    <w:p>
      <w:pPr>
        <w:pStyle w:val="98"/>
        <w:ind w:firstLine="560"/>
      </w:pPr>
      <w:r>
        <w:rPr>
          <w:rFonts w:hint="eastAsia"/>
        </w:rPr>
        <w:t>根据《国务院安委会办公室关于学习宣传贯彻&lt;中共中央办公厅 国务院办公厅关于进一步加强矿山安全生产工作的意见&gt;的通知》(安委办〔2023〕7号)文件的要求：“新建、改扩建金属非金属地下矿山原则上采用充填采矿法，不能采用的应严格论证”。</w:t>
      </w:r>
    </w:p>
    <w:p>
      <w:pPr>
        <w:pStyle w:val="98"/>
        <w:ind w:firstLine="560"/>
      </w:pPr>
      <w:r>
        <w:rPr>
          <w:rFonts w:hint="eastAsia"/>
        </w:rPr>
        <w:t>本项目性质为改建项目，设计采用充填法处理采空区。设计采用充填采矿法，充填体起到接触支撑上下盘围岩作用，防止空区垮塌对井下产生的冲击波，可有效控制地表变形。</w:t>
      </w:r>
    </w:p>
    <w:p>
      <w:pPr>
        <w:pStyle w:val="98"/>
        <w:ind w:firstLine="560"/>
      </w:pPr>
      <w:bookmarkStart w:id="222" w:name="OLE_LINK260"/>
      <w:bookmarkStart w:id="223" w:name="OLE_LINK261"/>
      <w:r>
        <w:rPr>
          <w:rFonts w:hint="eastAsia"/>
        </w:rPr>
        <w:t>根据《补充勘探报告》提交矿体特征可知，Ⅰ号矿体</w:t>
      </w:r>
      <w:r>
        <w:t>(Wo</w:t>
      </w:r>
      <w:r>
        <w:rPr>
          <w:rFonts w:hint="eastAsia"/>
        </w:rPr>
        <w:t>Ⅰ</w:t>
      </w:r>
      <w:r>
        <w:t>)</w:t>
      </w:r>
      <w:r>
        <w:rPr>
          <w:rFonts w:hint="eastAsia"/>
        </w:rPr>
        <w:t>倾角</w:t>
      </w:r>
      <w:r>
        <w:t>60</w:t>
      </w:r>
      <w:r>
        <w:rPr>
          <w:rFonts w:hint="eastAsia"/>
        </w:rPr>
        <w:t>～</w:t>
      </w:r>
      <w:r>
        <w:t>65</w:t>
      </w:r>
      <w:r>
        <w:rPr>
          <w:rFonts w:hint="eastAsia"/>
        </w:rPr>
        <w:t>°，最宽</w:t>
      </w:r>
      <w:r>
        <w:t>7.50m</w:t>
      </w:r>
      <w:r>
        <w:rPr>
          <w:rFonts w:hint="eastAsia"/>
        </w:rPr>
        <w:t>，最窄</w:t>
      </w:r>
      <w:r>
        <w:t>4.60m</w:t>
      </w:r>
      <w:r>
        <w:rPr>
          <w:rFonts w:hint="eastAsia"/>
        </w:rPr>
        <w:t>，平均宽</w:t>
      </w:r>
      <w:r>
        <w:t>6.50m</w:t>
      </w:r>
      <w:r>
        <w:rPr>
          <w:rFonts w:hint="eastAsia"/>
        </w:rPr>
        <w:t>。矿体及围岩较致密坚硬，构造裂隙不发育，物理性能良好，开采条件较好，区内断裂不发育，褶皱构造简单。矿体及围岩为坚硬岩组，井巷围岩稳固性较好。矿山已有多年开采历史，采用浅孔留矿采矿法开采，矿山原有主要井巷工程未见变形，地表未见沉降及变形等岩石移动现象。为避免破坏硅灰石晶体结构，矿山对开采爆破质量要求较高，设计结合矿山工程地质条件和多年历史开采经验，采矿方法选取参照《采矿设计手册》，推荐采用浅孔留矿嗣后充填采矿法，</w:t>
      </w:r>
      <w:bookmarkEnd w:id="222"/>
      <w:bookmarkEnd w:id="223"/>
    </w:p>
    <w:p>
      <w:pPr>
        <w:pStyle w:val="98"/>
        <w:ind w:firstLine="560"/>
      </w:pPr>
      <w:r>
        <w:rPr>
          <w:rFonts w:hint="eastAsia"/>
        </w:rPr>
        <w:t>(1) 浅孔留矿嗣后</w:t>
      </w:r>
      <w:r>
        <w:t>充填法</w:t>
      </w:r>
    </w:p>
    <w:p>
      <w:pPr>
        <w:pStyle w:val="98"/>
        <w:ind w:firstLine="560"/>
      </w:pPr>
      <w:r>
        <w:rPr>
          <w:rFonts w:hint="eastAsia"/>
        </w:rPr>
        <w:t xml:space="preserve">① </w:t>
      </w:r>
      <w:r>
        <w:t>矿块构成要素</w:t>
      </w:r>
    </w:p>
    <w:p>
      <w:pPr>
        <w:pStyle w:val="98"/>
        <w:ind w:firstLine="560"/>
      </w:pPr>
      <w:bookmarkStart w:id="224" w:name="_Toc354923155"/>
      <w:bookmarkStart w:id="225" w:name="_Toc355696011"/>
      <w:bookmarkStart w:id="226" w:name="_Toc355733726"/>
      <w:r>
        <w:rPr>
          <w:rFonts w:hint="eastAsia"/>
        </w:rPr>
        <w:t>设计矿块沿走向布置，矿块长40m，矿块开采宽度为矿体厚度，矿房高度30m，间柱8m，顶柱4m，平底结构。两矿块间以采准天井相隔，天井供行人、通风</w:t>
      </w:r>
      <w:r>
        <w:rPr>
          <w:rFonts w:hint="eastAsia"/>
          <w:lang w:val="en-GB"/>
        </w:rPr>
        <w:t>。矿山在试采与生产过程中对采场采矿方法进行试验，在保证安全的前提下，根据矿体实际变化情况进一步对采场结构参数优化。</w:t>
      </w:r>
    </w:p>
    <w:bookmarkEnd w:id="224"/>
    <w:bookmarkEnd w:id="225"/>
    <w:bookmarkEnd w:id="226"/>
    <w:p>
      <w:pPr>
        <w:pStyle w:val="98"/>
        <w:ind w:firstLine="560"/>
      </w:pPr>
      <w:r>
        <w:rPr>
          <w:rFonts w:hint="eastAsia"/>
        </w:rPr>
        <w:t xml:space="preserve">② </w:t>
      </w:r>
      <w:r>
        <w:t>采准切割工作</w:t>
      </w:r>
    </w:p>
    <w:p>
      <w:pPr>
        <w:pStyle w:val="98"/>
        <w:ind w:firstLine="560"/>
      </w:pPr>
      <w:r>
        <w:rPr>
          <w:rFonts w:hint="eastAsia"/>
        </w:rPr>
        <w:t>采准切割工作是从中段沿脉运输平巷掘凿穿脉至矿体，沿矿体或矿体下盘边界掘凿沿脉平巷。在矿房两端沿矿体倾斜方向掘凿天井，在天井内掘联络道，在采场底部从天井掘凿拉底巷道至矿房另一端。天井布置在矿块两侧矿体内，天井规格为2.0×2.0m，天井通过联络道与采矿工作面联系，联络道规格为2.0×2.0m。每隔8～12m掘一个出矿穿脉，为了考虑装载安全，装矿点巷道顶板需要挑高，该地段巷道需要根据围岩情况加强支护。</w:t>
      </w:r>
    </w:p>
    <w:p>
      <w:pPr>
        <w:pStyle w:val="98"/>
        <w:ind w:firstLine="560"/>
      </w:pPr>
      <w:r>
        <w:rPr>
          <w:rFonts w:hint="eastAsia"/>
        </w:rPr>
        <w:t xml:space="preserve">③ </w:t>
      </w:r>
      <w:r>
        <w:t>矿房回采</w:t>
      </w:r>
    </w:p>
    <w:p>
      <w:pPr>
        <w:pStyle w:val="98"/>
        <w:ind w:firstLine="560"/>
      </w:pPr>
      <w:r>
        <w:rPr>
          <w:rFonts w:hint="eastAsia"/>
        </w:rPr>
        <w:t>回采工艺：采场沿走向分两个梯段，采用YT-28凿岩机打水平炮孔，炮孔直径38～42mm，一次采幅高度1.8～2.2m，采用数码电子雷管起爆，采用乳化炸药进行爆破。放矿分两步进行，即局部放矿和大量放矿。局部放矿量为每次崩落矿石的30%左右，矿房内暂留矿石，使回采工作面保持2.0m高的空间，以便于下一循环作业。局部放矿时做到均匀放矿，以减少采场平整工作量。局部放矿后，应立即检查矿房顶、底板和上下盘，同时处理浮石，平整场地。当矿房回采到顶柱时，即进行大量放矿。</w:t>
      </w:r>
    </w:p>
    <w:p>
      <w:pPr>
        <w:pStyle w:val="98"/>
        <w:ind w:firstLine="560"/>
      </w:pPr>
      <w:r>
        <w:rPr>
          <w:rFonts w:hint="eastAsia"/>
        </w:rPr>
        <w:t xml:space="preserve">④ </w:t>
      </w:r>
      <w:r>
        <w:t>通风</w:t>
      </w:r>
    </w:p>
    <w:p>
      <w:pPr>
        <w:pStyle w:val="98"/>
        <w:ind w:firstLine="560"/>
      </w:pPr>
      <w:r>
        <w:rPr>
          <w:rFonts w:hint="eastAsia"/>
        </w:rPr>
        <w:t>爆破完成后需对采场进行机械通风，及时排出爆破产生的有害气体和粉尘。待采场内有害物质的浓度达到允许值后，工作人员方可进入作业面。新鲜风流由人行通风天井经联络道进入采场，污风由联络道及上山汇入回风巷，经回风井排出地表。每个采场配备1台局扇辅助通风。</w:t>
      </w:r>
    </w:p>
    <w:p>
      <w:pPr>
        <w:pStyle w:val="98"/>
        <w:ind w:firstLine="560"/>
      </w:pPr>
      <w:r>
        <w:rPr>
          <w:rFonts w:hint="eastAsia"/>
        </w:rPr>
        <w:t xml:space="preserve">⑤ </w:t>
      </w:r>
      <w:r>
        <w:t>地压控制</w:t>
      </w:r>
    </w:p>
    <w:p>
      <w:pPr>
        <w:pStyle w:val="98"/>
        <w:ind w:firstLine="560"/>
      </w:pPr>
      <w:r>
        <w:rPr>
          <w:rFonts w:hint="eastAsia"/>
        </w:rPr>
        <w:t>矿房通风完毕，即可进入矿房进行顶板安全检查处理。此项工作应由有经验的撬毛工负责，仔细观察顶板，将浮石撬下，以保证作业场合的安全，根据地质资料和矿山生产实践来看，矿体及围岩条件整体较好，开采过程中应根据实际情况对局部不稳固地段应加强支护，可采用锚杆或锚杆金属网联合支护，以确保采场的稳定与安全。</w:t>
      </w:r>
    </w:p>
    <w:p>
      <w:pPr>
        <w:pStyle w:val="98"/>
        <w:ind w:firstLine="560"/>
      </w:pPr>
      <w:r>
        <w:rPr>
          <w:rFonts w:hint="eastAsia"/>
        </w:rPr>
        <w:t>为控制井下采场地压，矿房回采后的矿柱予以保留，不进行回采，以保证采矿作业安全。</w:t>
      </w:r>
    </w:p>
    <w:p>
      <w:pPr>
        <w:pStyle w:val="6"/>
        <w:ind w:firstLine="562" w:firstLineChars="200"/>
        <w:rPr>
          <w:rFonts w:hint="default"/>
        </w:rPr>
      </w:pPr>
      <w:r>
        <w:t>8.充填系统</w:t>
      </w:r>
    </w:p>
    <w:p>
      <w:pPr>
        <w:pStyle w:val="98"/>
        <w:ind w:firstLine="560"/>
      </w:pPr>
      <w:r>
        <w:rPr>
          <w:rFonts w:hint="eastAsia"/>
        </w:rPr>
        <w:t>(1) 充填材料的选择</w:t>
      </w:r>
    </w:p>
    <w:p>
      <w:pPr>
        <w:pStyle w:val="98"/>
        <w:ind w:firstLine="560"/>
      </w:pPr>
      <w:r>
        <w:rPr>
          <w:rFonts w:hint="eastAsia"/>
        </w:rPr>
        <w:t>根据选用的采矿方法，为保证矿山生产安全、减少矿山废石排放，选择废石作为矿山充填材料，分别为井下采掘废石、地表干选废石，不足部分废石来源为现有排土场废石。</w:t>
      </w:r>
    </w:p>
    <w:p>
      <w:pPr>
        <w:pStyle w:val="98"/>
        <w:ind w:firstLine="560"/>
      </w:pPr>
      <w:r>
        <w:rPr>
          <w:rFonts w:hint="eastAsia"/>
        </w:rPr>
        <w:t>(2) 充填井</w:t>
      </w:r>
    </w:p>
    <w:p>
      <w:pPr>
        <w:pStyle w:val="98"/>
        <w:ind w:firstLine="560"/>
      </w:pPr>
      <w:r>
        <w:rPr>
          <w:rFonts w:hint="eastAsia"/>
        </w:rPr>
        <w:t>方案设计矿山采用至下而上开采，矿房留顶柱，采用上中段出矿川作为充填井</w:t>
      </w:r>
    </w:p>
    <w:p>
      <w:pPr>
        <w:pStyle w:val="98"/>
        <w:ind w:firstLine="560"/>
      </w:pPr>
      <w:r>
        <w:rPr>
          <w:rFonts w:hint="eastAsia"/>
        </w:rPr>
        <w:t>(3) 充填料输送方式</w:t>
      </w:r>
    </w:p>
    <w:p>
      <w:pPr>
        <w:pStyle w:val="98"/>
        <w:ind w:firstLine="560"/>
      </w:pPr>
      <w:r>
        <w:rPr>
          <w:rFonts w:hint="eastAsia"/>
        </w:rPr>
        <w:t>矿用地下自卸车及装载机联合输送，建设投资较低，机动灵活，充填能力可根据设备数量调节。</w:t>
      </w:r>
    </w:p>
    <w:p>
      <w:pPr>
        <w:pStyle w:val="98"/>
        <w:ind w:firstLine="560"/>
      </w:pPr>
      <w:r>
        <w:rPr>
          <w:rFonts w:hint="eastAsia"/>
        </w:rPr>
        <w:t>矿山生产运输确定采用无轨运输。本矿年生产规模1万t/a，年充填约0.87万m</w:t>
      </w:r>
      <w:r>
        <w:rPr>
          <w:rFonts w:hint="eastAsia"/>
          <w:vertAlign w:val="superscript"/>
        </w:rPr>
        <w:t>3</w:t>
      </w:r>
      <w:r>
        <w:rPr>
          <w:rFonts w:hint="eastAsia"/>
        </w:rPr>
        <w:t>。充填料输送</w:t>
      </w:r>
      <w:r>
        <w:t>使用矿山井下开采选用的</w:t>
      </w:r>
      <w:r>
        <w:rPr>
          <w:rFonts w:hint="eastAsia"/>
        </w:rPr>
        <w:t>铲装</w:t>
      </w:r>
      <w:r>
        <w:t>、运输设备，可</w:t>
      </w:r>
      <w:r>
        <w:rPr>
          <w:rFonts w:hint="eastAsia"/>
        </w:rPr>
        <w:t>降低</w:t>
      </w:r>
      <w:r>
        <w:t>投资、满足充填能力、机动性灵活、运行成本在可接受范围内。</w:t>
      </w:r>
    </w:p>
    <w:p>
      <w:pPr>
        <w:pStyle w:val="98"/>
        <w:ind w:firstLine="560"/>
      </w:pPr>
      <w:bookmarkStart w:id="227" w:name="OLE_LINK164"/>
      <w:r>
        <w:rPr>
          <w:rFonts w:hint="eastAsia"/>
        </w:rPr>
        <w:t>(4) 充填挡墙</w:t>
      </w:r>
    </w:p>
    <w:bookmarkEnd w:id="227"/>
    <w:p>
      <w:pPr>
        <w:pStyle w:val="98"/>
        <w:ind w:firstLine="560"/>
      </w:pPr>
      <w:r>
        <w:t>单墙整体强度不低于2.5Mpa</w:t>
      </w:r>
      <w:r>
        <w:rPr>
          <w:rFonts w:hint="eastAsia"/>
        </w:rPr>
        <w:t>，</w:t>
      </w:r>
      <w:r>
        <w:t>墙体采用浆砌石或砌筑结构，墙厚0.6m，巷道两帮的挖槽深度不小于0.3m。墙面抹灰平整，无凹凸，四边接茬严实，无漏风，封堵墙下部留设2个规格为0.</w:t>
      </w:r>
      <w:r>
        <w:rPr>
          <w:rFonts w:hint="eastAsia"/>
        </w:rPr>
        <w:t>3</w:t>
      </w:r>
      <w:r>
        <w:t>m×0.</w:t>
      </w:r>
      <w:r>
        <w:rPr>
          <w:rFonts w:hint="eastAsia"/>
        </w:rPr>
        <w:t>3</w:t>
      </w:r>
      <w:r>
        <w:t>m的泄水孔，排出的涌水引至巷道排水沟。封堵处悬挂醒目的警示标志牌：</w:t>
      </w:r>
      <w:r>
        <w:rPr>
          <w:rFonts w:hint="eastAsia"/>
        </w:rPr>
        <w:t>“</w:t>
      </w:r>
      <w:r>
        <w:t>废弃井巷，禁止靠近</w:t>
      </w:r>
      <w:r>
        <w:rPr>
          <w:rFonts w:hint="eastAsia"/>
        </w:rPr>
        <w:t>”</w:t>
      </w:r>
      <w:r>
        <w:t>，并悬挂封堵信息公示板，内容详见下表。矿山应建立专门的巡查组织，对废巷进行巡查，确保废巷内无积水。</w:t>
      </w:r>
    </w:p>
    <w:p>
      <w:pPr>
        <w:pStyle w:val="98"/>
        <w:ind w:firstLine="560"/>
      </w:pPr>
      <w:bookmarkStart w:id="228" w:name="OLE_LINK169"/>
      <w:bookmarkStart w:id="229" w:name="OLE_LINK170"/>
      <w:r>
        <w:rPr>
          <w:rFonts w:hint="eastAsia"/>
        </w:rPr>
        <w:t>(5) 充填材料消耗</w:t>
      </w:r>
    </w:p>
    <w:bookmarkEnd w:id="228"/>
    <w:bookmarkEnd w:id="229"/>
    <w:p>
      <w:pPr>
        <w:pStyle w:val="98"/>
        <w:ind w:firstLine="560"/>
      </w:pPr>
      <w:r>
        <w:rPr>
          <w:rFonts w:hint="eastAsia"/>
        </w:rPr>
        <w:t>矿山年生产形成采空区体积约0.87万m</w:t>
      </w:r>
      <w:r>
        <w:rPr>
          <w:rFonts w:hint="eastAsia"/>
          <w:vertAlign w:val="superscript"/>
        </w:rPr>
        <w:t>3</w:t>
      </w:r>
      <w:r>
        <w:rPr>
          <w:rFonts w:hint="eastAsia"/>
        </w:rPr>
        <w:t>，设计废石干式充填设计要求至少充填采空区体积的60%，废石充填考虑1.</w:t>
      </w:r>
      <w:r>
        <w:t>5</w:t>
      </w:r>
      <w:r>
        <w:rPr>
          <w:rFonts w:hint="eastAsia"/>
        </w:rPr>
        <w:t>松散系数及1</w:t>
      </w:r>
      <w:r>
        <w:t>.2</w:t>
      </w:r>
      <w:r>
        <w:rPr>
          <w:rFonts w:hint="eastAsia"/>
        </w:rPr>
        <w:t>沉实系数，需废石体积0.42万m</w:t>
      </w:r>
      <w:r>
        <w:rPr>
          <w:rFonts w:hint="eastAsia"/>
          <w:vertAlign w:val="superscript"/>
        </w:rPr>
        <w:t>3</w:t>
      </w:r>
      <w:r>
        <w:rPr>
          <w:rFonts w:hint="eastAsia"/>
        </w:rPr>
        <w:t>，年生产掘进及探矿产生废石约0.18万m</w:t>
      </w:r>
      <w:r>
        <w:rPr>
          <w:rFonts w:hint="eastAsia"/>
          <w:vertAlign w:val="superscript"/>
        </w:rPr>
        <w:t>3</w:t>
      </w:r>
      <w:r>
        <w:rPr>
          <w:rFonts w:hint="eastAsia"/>
        </w:rPr>
        <w:t>，每年至少还需要0.24万m</w:t>
      </w:r>
      <w:r>
        <w:rPr>
          <w:rFonts w:hint="eastAsia"/>
          <w:vertAlign w:val="superscript"/>
        </w:rPr>
        <w:t>3</w:t>
      </w:r>
      <w:r>
        <w:rPr>
          <w:rFonts w:hint="eastAsia"/>
        </w:rPr>
        <w:t>废石量，废石来源为现有排土场废石。</w:t>
      </w:r>
    </w:p>
    <w:p>
      <w:pPr>
        <w:pStyle w:val="98"/>
        <w:ind w:firstLine="560"/>
      </w:pPr>
      <w:r>
        <w:rPr>
          <w:rFonts w:hint="eastAsia"/>
        </w:rPr>
        <w:t>(6) 充填工艺</w:t>
      </w:r>
    </w:p>
    <w:p>
      <w:pPr>
        <w:pStyle w:val="98"/>
        <w:ind w:firstLine="560"/>
      </w:pPr>
      <w:r>
        <w:rPr>
          <w:rFonts w:hint="eastAsia"/>
        </w:rPr>
        <w:t>矿体采用浅孔留矿嗣后充填采矿法回采结束后，立即对采空区采用废石干式充填。充填材料选用生产掘进废石和探矿掘进废石，待采场大量放矿结束后，封闭出矿穿，从上中段出矿穿向采空区掘进充填井，充填井规格为1.5×2.5m，废石通过矿用无轨运输车辆运输，将废石通过充填井卸至采空区内。设计参考《采矿设计手册》的充填实例，为保证采空区充填率，必要时利用电耙对充填废石进行耙运，采用移动绞车，装于天井联络巷内，可将顶部未自溜的废石进行耙运和平整。</w:t>
      </w:r>
    </w:p>
    <w:p>
      <w:pPr>
        <w:pStyle w:val="98"/>
        <w:ind w:firstLine="560"/>
      </w:pPr>
      <w:r>
        <w:t>设计</w:t>
      </w:r>
      <w:r>
        <w:rPr>
          <w:rFonts w:hint="eastAsia"/>
        </w:rPr>
        <w:t>充填废石块度小控制在300</w:t>
      </w:r>
      <w:r>
        <w:t>mm以下，</w:t>
      </w:r>
      <w:r>
        <w:rPr>
          <w:rFonts w:hint="eastAsia"/>
        </w:rPr>
        <w:t>设计井下控制爆破废石块度在500mm以下，大块废石经斜坡道运输至地表。</w:t>
      </w:r>
    </w:p>
    <w:p>
      <w:pPr>
        <w:pStyle w:val="98"/>
        <w:ind w:firstLine="560"/>
      </w:pPr>
      <w:r>
        <w:rPr>
          <w:rFonts w:hint="eastAsia"/>
        </w:rPr>
        <w:t>为保证采空区充填率，设计在采空区上中段增设充填联络巷，在联络巷内增设充填井，设计要求采场充填率不小于60%，废石回填采空区后，可以消除大规模采空区，虽然废石回填无法进行有效的充填接顶，但是采空区被废石充填后可杜绝顶板垮落因巨大高差发生冲击地压的可能性。</w:t>
      </w:r>
    </w:p>
    <w:p>
      <w:pPr>
        <w:pStyle w:val="98"/>
        <w:ind w:firstLine="560"/>
      </w:pPr>
      <w:r>
        <w:rPr>
          <w:rFonts w:hint="eastAsia"/>
        </w:rPr>
        <w:t>为防止充填井堵塞，充填废石经放料口格筛进入充填井。在实际充填过程中，若充填废石块度变大，应及时调整充填井直径，确保钻孔直径不小于废石块度的5倍。</w:t>
      </w:r>
    </w:p>
    <w:p>
      <w:pPr>
        <w:pStyle w:val="98"/>
        <w:ind w:firstLine="560"/>
      </w:pPr>
      <w:r>
        <w:rPr>
          <w:rFonts w:hint="eastAsia"/>
        </w:rPr>
        <w:t>(7) 充填效果</w:t>
      </w:r>
    </w:p>
    <w:p>
      <w:pPr>
        <w:pStyle w:val="98"/>
        <w:ind w:firstLine="560"/>
      </w:pPr>
      <w:r>
        <w:rPr>
          <w:rFonts w:hint="eastAsia"/>
        </w:rPr>
        <w:t>采空区采用废石干式充填，充填体可以防止坍塌形成大面积的冲击地压。充填散体受压产生的侧向压应力对采场围岩或矿柱而言，相当于对其增加了围压，改善了围岩的应力状态。由废石散体压缩传力特性，废石散体在轴向中间位置产生的侧向压应力最大，采场内废石散体能最大程度地抑制矿柱和围岩的横向变形破坏，充分发挥侧限作用，以维持空区稳定。</w:t>
      </w:r>
    </w:p>
    <w:p>
      <w:pPr>
        <w:pStyle w:val="98"/>
        <w:ind w:firstLine="560"/>
      </w:pPr>
      <w:r>
        <w:rPr>
          <w:rFonts w:hint="eastAsia"/>
        </w:rPr>
        <w:t>(8) 建议</w:t>
      </w:r>
    </w:p>
    <w:p>
      <w:pPr>
        <w:pStyle w:val="98"/>
        <w:ind w:firstLine="560"/>
      </w:pPr>
      <w:r>
        <w:rPr>
          <w:rFonts w:hint="eastAsia"/>
        </w:rPr>
        <w:t>待充填区域应为中等稳固以上顶板，无明显地压活动，矿柱和围岩未遭到破坏。确定充填区域需经工区相关人员在现场调查后确定，一经确定，施工方和任何个人不得擅自改变作业场所，有新的情况须及时向工区负责人报告</w:t>
      </w:r>
    </w:p>
    <w:p>
      <w:pPr>
        <w:pStyle w:val="98"/>
        <w:ind w:firstLine="560"/>
      </w:pPr>
      <w:r>
        <w:rPr>
          <w:rFonts w:hint="eastAsia"/>
        </w:rPr>
        <w:t>进入充填区域时必须先进行安全确认，清除顶帮浮石，确保安全的前提下方可生产，生产过程中必须要由专职安全员现场监护。</w:t>
      </w:r>
    </w:p>
    <w:p>
      <w:pPr>
        <w:pStyle w:val="98"/>
        <w:ind w:firstLine="560"/>
      </w:pPr>
      <w:r>
        <w:rPr>
          <w:rFonts w:hint="eastAsia"/>
        </w:rPr>
        <w:t>采用电耙辅助充填方式，电耙安装在采场靠近采空区的一侧天井联络道内，以减少作业人员在采空区的作业时间(更换锚桩)，电耙安装位置相对安全。</w:t>
      </w:r>
    </w:p>
    <w:p>
      <w:pPr>
        <w:pStyle w:val="98"/>
        <w:ind w:firstLine="560"/>
      </w:pPr>
      <w:r>
        <w:rPr>
          <w:rFonts w:hint="eastAsia"/>
        </w:rPr>
        <w:t>充填作业应由远到近，以电耙为中心呈扇形向周围辐射，辅助作业人员在更换锚桩位置的时加强对采空区顶板的检查。</w:t>
      </w:r>
    </w:p>
    <w:p>
      <w:pPr>
        <w:pStyle w:val="98"/>
        <w:ind w:firstLine="560"/>
      </w:pPr>
      <w:r>
        <w:rPr>
          <w:rFonts w:hint="eastAsia"/>
        </w:rPr>
        <w:t>操作前的准备：使用电耙前，必须进行全面的检查和维护，确保机器的各个部件固定牢靠、良好无损，电源正常且安全可靠。同时，应检查工作场所的安全情况，避免与其他机械或人员发生碰撞等事故</w:t>
      </w:r>
    </w:p>
    <w:p>
      <w:pPr>
        <w:pStyle w:val="98"/>
        <w:ind w:firstLine="560"/>
      </w:pPr>
      <w:r>
        <w:rPr>
          <w:rFonts w:hint="eastAsia"/>
        </w:rPr>
        <w:t>在驾驶电耙时，应保持稳定的速度，避免突然加速或急转弯，以免出现侧翻或撞车等安全隐患。操作时还应留意机器后方的情况，以免不小心撞到其他物体。</w:t>
      </w:r>
    </w:p>
    <w:p>
      <w:pPr>
        <w:pStyle w:val="98"/>
        <w:ind w:firstLine="560"/>
      </w:pPr>
      <w:r>
        <w:rPr>
          <w:rFonts w:hint="eastAsia"/>
        </w:rPr>
        <w:t>除了日常的维护和检查，还需要定期进行保养和清洁。电耙在长期使用后，可能会出现一些零部件损坏或松动的情况，应该及时进行修理和更换。</w:t>
      </w:r>
    </w:p>
    <w:p>
      <w:pPr>
        <w:pStyle w:val="98"/>
        <w:ind w:firstLine="560"/>
      </w:pPr>
      <w:r>
        <w:rPr>
          <w:rFonts w:hint="eastAsia"/>
        </w:rPr>
        <w:t>沉降区设置围栏及警示标志，以防止人员误入。不会造成地表人员伤亡及财产损失。</w:t>
      </w:r>
    </w:p>
    <w:p>
      <w:pPr>
        <w:pStyle w:val="6"/>
        <w:ind w:firstLine="562" w:firstLineChars="200"/>
        <w:rPr>
          <w:rFonts w:hint="default"/>
        </w:rPr>
      </w:pPr>
      <w:r>
        <w:t>9.供电系统</w:t>
      </w:r>
    </w:p>
    <w:p>
      <w:pPr>
        <w:pStyle w:val="98"/>
        <w:ind w:firstLine="560"/>
      </w:pPr>
      <w:r>
        <w:t>矿区电源引自</w:t>
      </w:r>
      <w:r>
        <w:rPr>
          <w:rFonts w:hint="eastAsia"/>
        </w:rPr>
        <w:t>晓明变电站10kV</w:t>
      </w:r>
      <w:r>
        <w:t>侧，本设计采用需要系数法进行负荷计算。该</w:t>
      </w:r>
      <w:r>
        <w:rPr>
          <w:rFonts w:hint="eastAsia"/>
        </w:rPr>
        <w:t>矿区</w:t>
      </w:r>
      <w:r>
        <w:t>采用地下开采，设计采用双</w:t>
      </w:r>
      <w:r>
        <w:rPr>
          <w:rFonts w:hint="eastAsia"/>
        </w:rPr>
        <w:t>电源</w:t>
      </w:r>
      <w:r>
        <w:t>供电。</w:t>
      </w:r>
    </w:p>
    <w:p>
      <w:pPr>
        <w:pStyle w:val="98"/>
        <w:ind w:firstLine="560"/>
      </w:pPr>
      <w:r>
        <w:t>矿山供电一路电源通过附近10kV变电站引至</w:t>
      </w:r>
      <w:r>
        <w:rPr>
          <w:rFonts w:hint="eastAsia"/>
        </w:rPr>
        <w:t>矿区10kV变电所</w:t>
      </w:r>
      <w:r>
        <w:t>，通过变压器将高压电转换成各设备用电电压，经阻燃电缆接入各用电设备。另一路电源引自柴油发电机组，以保证井下一级负荷的连续运转，井下水泵按一级用电负荷设计。计算一级负荷为</w:t>
      </w:r>
      <w:r>
        <w:rPr>
          <w:rFonts w:hint="eastAsia"/>
        </w:rPr>
        <w:t>60</w:t>
      </w:r>
      <w:r>
        <w:t>kW</w:t>
      </w:r>
      <w:r>
        <w:rPr>
          <w:rFonts w:hint="eastAsia"/>
        </w:rPr>
        <w:t>；利用现有</w:t>
      </w:r>
      <w:r>
        <w:t>1</w:t>
      </w:r>
      <w:r>
        <w:rPr>
          <w:rFonts w:hint="eastAsia"/>
        </w:rPr>
        <w:t>台</w:t>
      </w:r>
      <w:r>
        <w:t>TZH</w:t>
      </w:r>
      <w:r>
        <w:rPr>
          <w:vertAlign w:val="subscript"/>
        </w:rPr>
        <w:t>2</w:t>
      </w:r>
      <w:r>
        <w:t>-200</w:t>
      </w:r>
      <w:r>
        <w:rPr>
          <w:rFonts w:hint="eastAsia"/>
        </w:rPr>
        <w:t>型柴油发电机组，额定输出功率</w:t>
      </w:r>
      <w:r>
        <w:t>200kW(</w:t>
      </w:r>
      <w:r>
        <w:rPr>
          <w:rFonts w:hint="eastAsia"/>
        </w:rPr>
        <w:t>常载</w:t>
      </w:r>
      <w:r>
        <w:t>)备用电源</w:t>
      </w:r>
      <w:r>
        <w:rPr>
          <w:rFonts w:hint="eastAsia"/>
        </w:rPr>
        <w:t>，输出电压</w:t>
      </w:r>
      <w:r>
        <w:t>400V</w:t>
      </w:r>
      <w:r>
        <w:rPr>
          <w:rFonts w:hint="eastAsia"/>
        </w:rPr>
        <w:t>。选用</w:t>
      </w:r>
      <w:r>
        <w:t>1</w:t>
      </w:r>
      <w:r>
        <w:rPr>
          <w:rFonts w:hint="eastAsia"/>
        </w:rPr>
        <w:t>台</w:t>
      </w:r>
      <w:r>
        <w:t>TZH</w:t>
      </w:r>
      <w:r>
        <w:rPr>
          <w:vertAlign w:val="subscript"/>
        </w:rPr>
        <w:t>2</w:t>
      </w:r>
      <w:r>
        <w:t>-50</w:t>
      </w:r>
      <w:r>
        <w:rPr>
          <w:rFonts w:hint="eastAsia"/>
        </w:rPr>
        <w:t>型柴油发电机组，额定输出功率</w:t>
      </w:r>
      <w:r>
        <w:t>50kW(</w:t>
      </w:r>
      <w:r>
        <w:rPr>
          <w:rFonts w:hint="eastAsia"/>
        </w:rPr>
        <w:t>常载</w:t>
      </w:r>
      <w:r>
        <w:t>)</w:t>
      </w:r>
      <w:r>
        <w:rPr>
          <w:rFonts w:hint="eastAsia"/>
        </w:rPr>
        <w:t>，输出电压</w:t>
      </w:r>
      <w:r>
        <w:t>400V</w:t>
      </w:r>
      <w:r>
        <w:rPr>
          <w:rFonts w:hint="eastAsia"/>
        </w:rPr>
        <w:t>，功率因数</w:t>
      </w:r>
      <w:r>
        <w:t>0.8</w:t>
      </w:r>
      <w:r>
        <w:rPr>
          <w:rFonts w:hint="eastAsia"/>
        </w:rPr>
        <w:t>，作为回风斜井主扇风机</w:t>
      </w:r>
      <w:r>
        <w:t>(22kW)</w:t>
      </w:r>
      <w:r>
        <w:rPr>
          <w:rFonts w:hint="eastAsia"/>
        </w:rPr>
        <w:t>应急备用电源</w:t>
      </w:r>
    </w:p>
    <w:p>
      <w:pPr>
        <w:pStyle w:val="98"/>
        <w:ind w:firstLine="560"/>
      </w:pPr>
      <w:r>
        <w:rPr>
          <w:rFonts w:hint="eastAsia"/>
        </w:rPr>
        <w:t>(1) 井上供电</w:t>
      </w:r>
    </w:p>
    <w:p>
      <w:pPr>
        <w:pStyle w:val="98"/>
        <w:ind w:firstLine="560"/>
      </w:pPr>
      <w:r>
        <w:rPr>
          <w:rFonts w:hint="eastAsia"/>
        </w:rPr>
        <w:t>设计斜坡道变电所利用现有</w:t>
      </w:r>
      <w:r>
        <w:t>1</w:t>
      </w:r>
      <w:r>
        <w:rPr>
          <w:rFonts w:hint="eastAsia"/>
        </w:rPr>
        <w:t>台</w:t>
      </w:r>
      <w:r>
        <w:t>S7-250/10/0.4kV 250kVA</w:t>
      </w:r>
      <w:r>
        <w:rPr>
          <w:rFonts w:hint="eastAsia"/>
        </w:rPr>
        <w:t>湿式变压器，担负地表风机、空压机、工业场地维修间、照明及杂动等其它低压负荷用电。</w:t>
      </w:r>
    </w:p>
    <w:p>
      <w:pPr>
        <w:pStyle w:val="98"/>
        <w:ind w:firstLine="560"/>
      </w:pPr>
      <w:r>
        <w:rPr>
          <w:rFonts w:hint="eastAsia"/>
        </w:rPr>
        <w:t>(2) 井下供电</w:t>
      </w:r>
    </w:p>
    <w:p>
      <w:pPr>
        <w:pStyle w:val="98"/>
        <w:ind w:firstLine="560"/>
      </w:pPr>
      <w:r>
        <w:rPr>
          <w:rFonts w:hint="eastAsia"/>
        </w:rPr>
        <w:t>设计斜坡道变电所内利用现有</w:t>
      </w:r>
      <w:r>
        <w:t>1</w:t>
      </w:r>
      <w:r>
        <w:rPr>
          <w:rFonts w:hint="eastAsia"/>
        </w:rPr>
        <w:t>台</w:t>
      </w:r>
      <w:r>
        <w:t>S7-250/10/0.4kV 250kVA</w:t>
      </w:r>
      <w:r>
        <w:rPr>
          <w:rFonts w:hint="eastAsia"/>
        </w:rPr>
        <w:t>湿式变压器，担负井下水泵、局扇及照明等其它低压负荷用电，满足井下供配电要求。矿山井下用电设备集中布置在泵房配电硐室附近，采区用电设备少、负荷低，设计采用移动式井下专用变压器供电。</w:t>
      </w:r>
    </w:p>
    <w:p>
      <w:pPr>
        <w:pStyle w:val="6"/>
        <w:ind w:firstLine="562" w:firstLineChars="200"/>
        <w:rPr>
          <w:rFonts w:hint="default"/>
        </w:rPr>
      </w:pPr>
      <w:r>
        <w:t>10.供水系统</w:t>
      </w:r>
    </w:p>
    <w:p>
      <w:pPr>
        <w:pStyle w:val="98"/>
        <w:ind w:firstLine="560"/>
      </w:pPr>
      <w:r>
        <w:rPr>
          <w:rFonts w:hint="eastAsia"/>
        </w:rPr>
        <w:t>生产和消防设一套供水系统。矿山生产及消防用水采用井下涌水，经井下水泵送入斜坡道工业场地内的容积为260m</w:t>
      </w:r>
      <w:r>
        <w:rPr>
          <w:rFonts w:hint="eastAsia"/>
          <w:vertAlign w:val="superscript"/>
        </w:rPr>
        <w:t>3</w:t>
      </w:r>
      <w:r>
        <w:rPr>
          <w:rFonts w:hint="eastAsia"/>
        </w:rPr>
        <w:t>的高位水池，由其提供全矿生产及消防用水。</w:t>
      </w:r>
    </w:p>
    <w:p>
      <w:pPr>
        <w:pStyle w:val="98"/>
        <w:ind w:firstLine="560"/>
      </w:pPr>
      <w:r>
        <w:rPr>
          <w:rFonts w:hint="eastAsia"/>
        </w:rPr>
        <w:t>井下</w:t>
      </w:r>
      <w:r>
        <w:t>主要用水设备为各中段凿岩机用水及喷洒、洗帮用水，用水水压为0.4-0.6MPa，</w:t>
      </w:r>
      <w:r>
        <w:rPr>
          <w:rFonts w:hint="eastAsia"/>
        </w:rPr>
        <w:t>选DN80无缝钢管供水，供水管径89mm。生产用水量30m</w:t>
      </w:r>
      <w:r>
        <w:rPr>
          <w:rFonts w:hint="eastAsia"/>
          <w:vertAlign w:val="superscript"/>
        </w:rPr>
        <w:t>3</w:t>
      </w:r>
      <w:r>
        <w:rPr>
          <w:rFonts w:hint="eastAsia"/>
        </w:rPr>
        <w:t>/d。</w:t>
      </w:r>
    </w:p>
    <w:p>
      <w:pPr>
        <w:pStyle w:val="98"/>
        <w:ind w:firstLine="560"/>
      </w:pPr>
      <w:r>
        <w:rPr>
          <w:rFonts w:hint="eastAsia"/>
        </w:rPr>
        <w:t>生活饮用水由</w:t>
      </w:r>
      <w:bookmarkStart w:id="230" w:name="_Hlk157356543"/>
      <w:r>
        <w:rPr>
          <w:rFonts w:hint="eastAsia"/>
        </w:rPr>
        <w:t>饮用水井</w:t>
      </w:r>
      <w:bookmarkEnd w:id="230"/>
      <w:r>
        <w:rPr>
          <w:rFonts w:hint="eastAsia"/>
        </w:rPr>
        <w:t>提供，矿区内设置生活高位水箱。其水质应满足《生活饮用水卫生标准》(GB5749-2020)的要求。</w:t>
      </w:r>
    </w:p>
    <w:p>
      <w:pPr>
        <w:pStyle w:val="6"/>
        <w:ind w:firstLine="562" w:firstLineChars="200"/>
        <w:rPr>
          <w:rFonts w:hint="default"/>
        </w:rPr>
      </w:pPr>
      <w:r>
        <w:t>11.总平面布置</w:t>
      </w:r>
    </w:p>
    <w:p>
      <w:pPr>
        <w:pStyle w:val="98"/>
        <w:ind w:firstLine="560"/>
      </w:pPr>
      <w:r>
        <w:rPr>
          <w:rFonts w:hint="eastAsia"/>
        </w:rPr>
        <w:t>(1) 工业场地</w:t>
      </w:r>
    </w:p>
    <w:p>
      <w:pPr>
        <w:pStyle w:val="98"/>
        <w:ind w:firstLine="560"/>
      </w:pPr>
      <w:r>
        <w:rPr>
          <w:rFonts w:hint="eastAsia"/>
        </w:rPr>
        <w:t>设计</w:t>
      </w:r>
      <w:r>
        <w:t>矿区</w:t>
      </w:r>
      <w:r>
        <w:rPr>
          <w:rFonts w:hint="eastAsia"/>
        </w:rPr>
        <w:t>地表</w:t>
      </w:r>
      <w:r>
        <w:t>主要有</w:t>
      </w:r>
      <w:r>
        <w:rPr>
          <w:rFonts w:hint="eastAsia"/>
        </w:rPr>
        <w:t>斜坡道工业场地、回风斜井、</w:t>
      </w:r>
      <w:r>
        <w:t>辅助生产设施等组成。</w:t>
      </w:r>
    </w:p>
    <w:p>
      <w:pPr>
        <w:pStyle w:val="98"/>
        <w:ind w:firstLine="560"/>
        <w:rPr>
          <w:rFonts w:cs="仿宋"/>
        </w:rPr>
      </w:pPr>
      <w:r>
        <w:rPr>
          <w:rFonts w:hint="eastAsia" w:cs="仿宋"/>
        </w:rPr>
        <w:t>斜坡道工业场地内布置有井口房、办公室、调度室、空压机站及高位水池等设施。回风井井口布置有主扇风机房。</w:t>
      </w:r>
    </w:p>
    <w:p>
      <w:pPr>
        <w:pStyle w:val="98"/>
        <w:ind w:firstLine="560"/>
        <w:rPr>
          <w:rFonts w:cs="仿宋"/>
        </w:rPr>
      </w:pPr>
      <w:r>
        <w:rPr>
          <w:rFonts w:hint="eastAsia" w:cs="仿宋"/>
        </w:rPr>
        <w:t>(2) 矿山复垦</w:t>
      </w:r>
    </w:p>
    <w:p>
      <w:pPr>
        <w:pStyle w:val="98"/>
        <w:ind w:firstLine="560"/>
        <w:rPr>
          <w:rFonts w:cs="仿宋"/>
        </w:rPr>
      </w:pPr>
      <w:r>
        <w:rPr>
          <w:rFonts w:hint="eastAsia" w:cs="仿宋"/>
        </w:rPr>
        <w:t>初期采用露天开采，地表进行了不同程度的剥离，均为山坡采场，最大边坡高度17m，目前采坑已无明显痕迹，均被植被覆盖，可实现自流排水。</w:t>
      </w:r>
    </w:p>
    <w:p>
      <w:pPr>
        <w:pStyle w:val="6"/>
        <w:ind w:firstLine="562" w:firstLineChars="200"/>
        <w:rPr>
          <w:rFonts w:hint="default"/>
        </w:rPr>
      </w:pPr>
      <w:r>
        <w:t>12.废石场</w:t>
      </w:r>
    </w:p>
    <w:p>
      <w:pPr>
        <w:pStyle w:val="98"/>
        <w:ind w:firstLine="560"/>
      </w:pPr>
      <w:bookmarkStart w:id="231" w:name="_Toc28245"/>
      <w:r>
        <w:rPr>
          <w:rFonts w:hint="eastAsia"/>
        </w:rPr>
        <w:t>本次不设计废石场，基建期产生的废石运输至地表回填至矿区沟谷；生产期产生的废石用于充填采空区。</w:t>
      </w:r>
      <w:bookmarkEnd w:id="231"/>
    </w:p>
    <w:p>
      <w:pPr>
        <w:pStyle w:val="6"/>
        <w:ind w:firstLine="562" w:firstLineChars="200"/>
        <w:rPr>
          <w:rFonts w:hint="default"/>
        </w:rPr>
      </w:pPr>
      <w:r>
        <w:t>13.基建期及采剥进度计划</w:t>
      </w:r>
    </w:p>
    <w:p>
      <w:pPr>
        <w:pStyle w:val="98"/>
        <w:ind w:firstLine="560"/>
      </w:pPr>
      <w:r>
        <w:rPr>
          <w:rFonts w:hint="eastAsia"/>
        </w:rPr>
        <w:t>本次方案设计工程均为新建工程，根据矿山投产前所需达到的三级矿量</w:t>
      </w:r>
      <w:r>
        <w:t>和应达到的矿山生产能力，</w:t>
      </w:r>
      <w:r>
        <w:rPr>
          <w:rFonts w:hint="eastAsia"/>
        </w:rPr>
        <w:t>设计基建范围主要包括：</w:t>
      </w:r>
      <w:bookmarkStart w:id="232" w:name="OLE_LINK378"/>
      <w:bookmarkStart w:id="233" w:name="OLE_LINK379"/>
      <w:r>
        <w:rPr>
          <w:rFonts w:hint="eastAsia"/>
        </w:rPr>
        <w:t>新建斜坡道、45m中段泵房水仓、配电硐室、45m中段、75m中段、105m中段、人行通风天井、采准切割工程及安全避险“六大系统”安装调试等</w:t>
      </w:r>
      <w:bookmarkEnd w:id="232"/>
      <w:bookmarkEnd w:id="233"/>
      <w:r>
        <w:rPr>
          <w:rFonts w:hint="eastAsia"/>
        </w:rPr>
        <w:t>。完成上述工程后，可以使矿山形成完整的开拓、运输、通风、排水等系统，基建工程1775m，总量为22494m</w:t>
      </w:r>
      <w:r>
        <w:rPr>
          <w:rFonts w:hint="eastAsia"/>
          <w:vertAlign w:val="superscript"/>
        </w:rPr>
        <w:t>3</w:t>
      </w:r>
      <w:r>
        <w:rPr>
          <w:rFonts w:hint="eastAsia"/>
        </w:rPr>
        <w:t>。矿山基建工程量见表4-5。</w:t>
      </w:r>
      <w:r>
        <w:t>依据国家矿山安全监察局&lt;关于加强非煤矿山安全生产工作的指导意见&gt;(矿安[2022]4号)要求，</w:t>
      </w:r>
      <w:r>
        <w:rPr>
          <w:rFonts w:hint="eastAsia"/>
        </w:rPr>
        <w:t>金属非金属地下矿山具备完善的安全出口、提升、通风、排水、运输、供配电等条件后方可组织采矿作业。设计利用现有1台DF10A-1BCD型凿岩台车用于巷道掘进，利用现有1台DF10A-1BCD型凿岩台车用于撬毛作业。设计矿山基建期2年，第3～17年为稳产期，第18年进入开采末期。</w:t>
      </w:r>
    </w:p>
    <w:p>
      <w:pPr>
        <w:pStyle w:val="98"/>
        <w:ind w:firstLine="0" w:firstLineChars="0"/>
        <w:jc w:val="center"/>
        <w:rPr>
          <w:rFonts w:hAnsi="宋体"/>
          <w:b/>
        </w:rPr>
      </w:pPr>
      <w:r>
        <w:rPr>
          <w:rFonts w:hint="eastAsia" w:hAnsi="宋体"/>
          <w:b/>
        </w:rPr>
        <w:t>表4-5 基建工程量表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963"/>
        <w:gridCol w:w="1890"/>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巷道名称</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掘进断面</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2</w:t>
            </w:r>
            <w:r>
              <w:rPr>
                <w:rFonts w:hint="eastAsia" w:asciiTheme="minorEastAsia" w:hAnsiTheme="minorEastAsia" w:eastAsiaTheme="minorEastAsia"/>
                <w:sz w:val="24"/>
              </w:rPr>
              <w:t>)</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巷道长度</w:t>
            </w:r>
            <w:r>
              <w:rPr>
                <w:rFonts w:hint="eastAsia" w:asciiTheme="minorEastAsia" w:hAnsiTheme="minorEastAsia" w:eastAsiaTheme="minorEastAsia"/>
                <w:sz w:val="24"/>
              </w:rPr>
              <w:t>(</w:t>
            </w:r>
            <w:r>
              <w:rPr>
                <w:rFonts w:asciiTheme="minorEastAsia" w:hAnsiTheme="minorEastAsia" w:eastAsiaTheme="minorEastAsia"/>
                <w:sz w:val="24"/>
              </w:rPr>
              <w:t>m</w:t>
            </w:r>
            <w:r>
              <w:rPr>
                <w:rFonts w:hint="eastAsia" w:asciiTheme="minorEastAsia" w:hAnsiTheme="minorEastAsia" w:eastAsiaTheme="minorEastAsia"/>
                <w:sz w:val="24"/>
              </w:rPr>
              <w:t>)</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工程</w:t>
            </w:r>
            <w:r>
              <w:rPr>
                <w:rFonts w:asciiTheme="minorEastAsia" w:hAnsiTheme="minorEastAsia" w:eastAsiaTheme="minorEastAsia"/>
                <w:sz w:val="24"/>
              </w:rPr>
              <w:t>量</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水泵房、水仓及配电硐室</w:t>
            </w:r>
          </w:p>
        </w:tc>
        <w:tc>
          <w:tcPr>
            <w:tcW w:w="1963" w:type="dxa"/>
            <w:shd w:val="clear" w:color="auto" w:fill="auto"/>
            <w:vAlign w:val="center"/>
          </w:tcPr>
          <w:p>
            <w:pPr>
              <w:spacing w:line="240" w:lineRule="exact"/>
              <w:jc w:val="center"/>
              <w:rPr>
                <w:rFonts w:asciiTheme="minorEastAsia" w:hAnsiTheme="minorEastAsia" w:eastAsiaTheme="minorEastAsia"/>
                <w:sz w:val="24"/>
              </w:rPr>
            </w:pPr>
          </w:p>
        </w:tc>
        <w:tc>
          <w:tcPr>
            <w:tcW w:w="1890" w:type="dxa"/>
            <w:shd w:val="clear" w:color="auto" w:fill="auto"/>
            <w:vAlign w:val="center"/>
          </w:tcPr>
          <w:p>
            <w:pPr>
              <w:spacing w:line="240" w:lineRule="exact"/>
              <w:jc w:val="center"/>
              <w:rPr>
                <w:rFonts w:asciiTheme="minorEastAsia" w:hAnsiTheme="minorEastAsia" w:eastAsiaTheme="minorEastAsia"/>
                <w:sz w:val="24"/>
              </w:rPr>
            </w:pP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bookmarkStart w:id="234" w:name="OLE_LINK384"/>
            <w:bookmarkStart w:id="235" w:name="OLE_LINK385"/>
            <w:r>
              <w:rPr>
                <w:rFonts w:hint="eastAsia" w:asciiTheme="minorEastAsia" w:hAnsiTheme="minorEastAsia" w:eastAsiaTheme="minorEastAsia"/>
                <w:sz w:val="24"/>
              </w:rPr>
              <w:t>45m中段运输巷道</w:t>
            </w:r>
            <w:bookmarkEnd w:id="234"/>
            <w:bookmarkEnd w:id="235"/>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75m中段运输巷道</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105m中段运输巷道</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963" w:type="dxa"/>
            <w:shd w:val="clear" w:color="auto" w:fill="auto"/>
            <w:vAlign w:val="center"/>
          </w:tcPr>
          <w:p>
            <w:pPr>
              <w:spacing w:line="240" w:lineRule="exact"/>
              <w:jc w:val="center"/>
              <w:rPr>
                <w:rFonts w:asciiTheme="minorEastAsia" w:hAnsiTheme="minorEastAsia" w:eastAsiaTheme="minorEastAsia"/>
                <w:sz w:val="24"/>
              </w:rPr>
            </w:pPr>
          </w:p>
        </w:tc>
        <w:tc>
          <w:tcPr>
            <w:tcW w:w="1890" w:type="dxa"/>
            <w:shd w:val="clear" w:color="auto" w:fill="auto"/>
            <w:vAlign w:val="center"/>
          </w:tcPr>
          <w:p>
            <w:pPr>
              <w:spacing w:line="240" w:lineRule="exact"/>
              <w:jc w:val="center"/>
              <w:rPr>
                <w:rFonts w:asciiTheme="minorEastAsia" w:hAnsiTheme="minorEastAsia" w:eastAsiaTheme="minorEastAsia"/>
                <w:sz w:val="24"/>
              </w:rPr>
            </w:pP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1963" w:type="dxa"/>
            <w:shd w:val="clear" w:color="auto" w:fill="auto"/>
            <w:vAlign w:val="center"/>
          </w:tcPr>
          <w:p>
            <w:pPr>
              <w:spacing w:line="240" w:lineRule="exact"/>
              <w:jc w:val="center"/>
              <w:rPr>
                <w:rFonts w:asciiTheme="minorEastAsia" w:hAnsiTheme="minorEastAsia" w:eastAsiaTheme="minorEastAsia"/>
                <w:sz w:val="24"/>
              </w:rPr>
            </w:pP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r>
    </w:tbl>
    <w:p>
      <w:pPr>
        <w:pStyle w:val="98"/>
        <w:ind w:firstLine="0" w:firstLineChars="0"/>
        <w:jc w:val="center"/>
        <w:rPr>
          <w:rFonts w:hAnsi="宋体"/>
          <w:b/>
        </w:rPr>
        <w:sectPr>
          <w:headerReference r:id="rId12" w:type="default"/>
          <w:pgSz w:w="11906" w:h="16838"/>
          <w:pgMar w:top="1440" w:right="1800" w:bottom="1440" w:left="1800" w:header="851" w:footer="782" w:gutter="0"/>
          <w:cols w:space="425" w:num="1"/>
          <w:docGrid w:type="lines" w:linePitch="312" w:charSpace="0"/>
        </w:sectPr>
      </w:pPr>
    </w:p>
    <w:p>
      <w:pPr>
        <w:snapToGrid w:val="0"/>
        <w:spacing w:line="360" w:lineRule="auto"/>
        <w:jc w:val="center"/>
        <w:rPr>
          <w:rFonts w:asciiTheme="minorEastAsia" w:hAnsiTheme="minorEastAsia" w:eastAsiaTheme="minorEastAsia"/>
          <w:b/>
          <w:sz w:val="28"/>
          <w:szCs w:val="28"/>
        </w:rPr>
      </w:pPr>
      <w:bookmarkStart w:id="236" w:name="OLE_LINK5"/>
      <w:r>
        <w:rPr>
          <w:rFonts w:hint="eastAsia" w:asciiTheme="minorEastAsia" w:hAnsiTheme="minorEastAsia" w:eastAsiaTheme="minorEastAsia"/>
          <w:b/>
          <w:sz w:val="28"/>
          <w:szCs w:val="28"/>
        </w:rPr>
        <w:t>表4-6-1 基建掘进进度计划表</w:t>
      </w:r>
    </w:p>
    <w:bookmarkEnd w:id="236"/>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020"/>
        <w:gridCol w:w="944"/>
        <w:gridCol w:w="941"/>
        <w:gridCol w:w="944"/>
        <w:gridCol w:w="640"/>
        <w:gridCol w:w="640"/>
        <w:gridCol w:w="640"/>
        <w:gridCol w:w="640"/>
        <w:gridCol w:w="640"/>
        <w:gridCol w:w="640"/>
        <w:gridCol w:w="643"/>
        <w:gridCol w:w="643"/>
        <w:gridCol w:w="644"/>
        <w:gridCol w:w="644"/>
        <w:gridCol w:w="696"/>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2591" w:type="dxa"/>
            <w:vMerge w:val="restart"/>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工程名称</w:t>
            </w:r>
          </w:p>
        </w:tc>
        <w:tc>
          <w:tcPr>
            <w:tcW w:w="102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长度</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工程量</w:t>
            </w:r>
          </w:p>
        </w:tc>
        <w:tc>
          <w:tcPr>
            <w:tcW w:w="94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定额</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时间</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2</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3</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4</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5</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6</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3"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7</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3"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8</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9</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10</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11</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12</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91" w:type="dxa"/>
            <w:vMerge w:val="continue"/>
            <w:vAlign w:val="center"/>
          </w:tcPr>
          <w:p>
            <w:pPr>
              <w:spacing w:line="360" w:lineRule="auto"/>
              <w:ind w:firstLine="480" w:firstLineChars="200"/>
              <w:jc w:val="center"/>
              <w:rPr>
                <w:rFonts w:asciiTheme="minorEastAsia" w:hAnsiTheme="minorEastAsia" w:eastAsiaTheme="minorEastAsia"/>
                <w:sz w:val="24"/>
              </w:rPr>
            </w:pPr>
          </w:p>
        </w:tc>
        <w:tc>
          <w:tcPr>
            <w:tcW w:w="102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m3</w:t>
            </w:r>
          </w:p>
        </w:tc>
        <w:tc>
          <w:tcPr>
            <w:tcW w:w="94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m/月</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12.8</w:t>
            </w:r>
          </w:p>
        </w:tc>
        <w:tc>
          <w:tcPr>
            <w:tcW w:w="640"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28224" behindDoc="0" locked="0" layoutInCell="1" allowOverlap="1">
                      <wp:simplePos x="0" y="0"/>
                      <wp:positionH relativeFrom="column">
                        <wp:posOffset>-29845</wp:posOffset>
                      </wp:positionH>
                      <wp:positionV relativeFrom="paragraph">
                        <wp:posOffset>107315</wp:posOffset>
                      </wp:positionV>
                      <wp:extent cx="1858010" cy="9525"/>
                      <wp:effectExtent l="38100" t="38100" r="66040" b="85725"/>
                      <wp:wrapNone/>
                      <wp:docPr id="8" name="直接箭头连接符 8"/>
                      <wp:cNvGraphicFramePr/>
                      <a:graphic xmlns:a="http://schemas.openxmlformats.org/drawingml/2006/main">
                        <a:graphicData uri="http://schemas.microsoft.com/office/word/2010/wordprocessingShape">
                          <wps:wsp>
                            <wps:cNvCnPr>
                              <a:cxnSpLocks noChangeShapeType="true"/>
                            </wps:cNvCnPr>
                            <wps:spPr bwMode="auto">
                              <a:xfrm>
                                <a:off x="0" y="0"/>
                                <a:ext cx="1858010" cy="9525"/>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35pt;margin-top:8.45pt;height:0.75pt;width:146.3pt;z-index:251828224;mso-width-relative:page;mso-height-relative:page;" filled="f" stroked="t" coordsize="21600,21600" o:gfxdata="UEsFBgAAAAAAAAAAAAAAAAAAAAAAAFBLAwQKAAAAAACHTuJAAAAAAAAAAAAAAAAABAAAAGRycy9Q&#10;SwMEFAAAAAgAh07iQH1Yi8LYAAAACAEAAA8AAABkcnMvZG93bnJldi54bWxNjzFPwzAQhXck/oN1&#10;SGyt0ypqQ4jTATViQogCQzc3PpIQ+xzFTlr49RwTbHfvPb37rthdnBUzjqHzpGC1TEAg1d501Ch4&#10;e60WGYgQNRltPaGCLwywK6+vCp0bf6YXnA+xEVxCIdcK2hiHXMpQt+h0WPoBib0PPzodeR0baUZ9&#10;5nJn5TpJNtLpjvhCqwd8aLHuD5NT0O+rad4/pt/98Pn0XqX98fhsB6Vub1bJPYiIl/gXhl98RoeS&#10;mU5+IhOEVbBIt5xkfXMHgv11tuXhxEKWgiwL+f+B8gdQSwMEFAAAAAgAh07iQAdl7D4tAgAALgQA&#10;AA4AAABkcnMvZTJvRG9jLnhtbK1TzY7TMBC+I/EOlu80baHQRk330NVyWaBiF3F2HSexcDzW2G3a&#10;l+AFkDgBJ+C0d54Glsdg7P6oC+KCyMHy2J75vpnvy/Rs0xq2Vug12IIPen3OlJVQalsX/NX1xYMx&#10;Zz4IWwoDVhV8qzw/m92/N+1crobQgCkVMipifd65gjchuDzLvGxUK3wPnLJ0WQG2IlCIdVai6Kh6&#10;a7Jhv/846wBLhyCV93R6vrvks1S/qpQML6rKq8BMwYlbSCumdRnXbDYVeY3CNVruaYh/YNEKbQn0&#10;WOpcBMFWqP8o1WqJ4KEKPQltBlWlpUo9UDeD/m/dXDXCqdQLDce745j8/ysrn68XyHRZcBLKipYk&#10;un138+Ptx9uvX75/uPn57X3cf/7ExnFUnfM5ZcztAmOzcmOv3CXIN55ZmDfC1ipRvt46qhNwpWJS&#10;dicrBt4R5rJ7BiU9E6sAaXSbCttYlYbCNkmh7VEhtQlM0uFgPBrTnDiTdDcZDUcJQOSHXIc+PFXQ&#10;srgpuA8odN2EOVhLVgAcJCSxvvQhMhP5ISECW7jQxiRHGMu6gg9Hj/qEJUxN3pYBU7IHo8v4MKZ4&#10;rJdzg2wtor/St2d05xnCypY7QGNjnkrWJBap4VVQeNWUHVuaFb4UJAbhRuRSxy7I57uAfBsZpQgh&#10;vNahSfOOY/obm3gujGvEjuPDJ5PJ5EBxRz7NAQ4cUnRCL6kXBdupv4Ryu8CDqmTK9H7/A0XXn8a0&#10;P/3N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fViLwtgAAAAIAQAADwAAAAAAAAABACAAAAA4&#10;AAAAZHJzL2Rvd25yZXYueG1sUEsBAhQAFAAAAAgAh07iQAdl7D4tAgAALgQAAA4AAAAAAAAAAQAg&#10;AAAAPQEAAGRycy9lMm9Eb2MueG1sUEsFBgAAAAAGAAYAWQEAANwFA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29248" behindDoc="0" locked="0" layoutInCell="1" allowOverlap="1">
                      <wp:simplePos x="0" y="0"/>
                      <wp:positionH relativeFrom="column">
                        <wp:posOffset>196215</wp:posOffset>
                      </wp:positionH>
                      <wp:positionV relativeFrom="paragraph">
                        <wp:posOffset>120015</wp:posOffset>
                      </wp:positionV>
                      <wp:extent cx="0" cy="932815"/>
                      <wp:effectExtent l="0" t="0" r="19050" b="19685"/>
                      <wp:wrapNone/>
                      <wp:docPr id="11" name="直接箭头连接符 11"/>
                      <wp:cNvGraphicFramePr/>
                      <a:graphic xmlns:a="http://schemas.openxmlformats.org/drawingml/2006/main">
                        <a:graphicData uri="http://schemas.microsoft.com/office/word/2010/wordprocessingShape">
                          <wps:wsp>
                            <wps:cNvCnPr>
                              <a:cxnSpLocks noChangeShapeType="true"/>
                            </wps:cNvCnPr>
                            <wps:spPr bwMode="auto">
                              <a:xfrm flipV="true">
                                <a:off x="0" y="0"/>
                                <a:ext cx="0" cy="93281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5.45pt;margin-top:9.45pt;height:73.45pt;width:0pt;z-index:251829248;mso-width-relative:page;mso-height-relative:page;" filled="f" stroked="t" coordsize="21600,21600" o:gfxdata="UEsFBgAAAAAAAAAAAAAAAAAAAAAAAFBLAwQKAAAAAACHTuJAAAAAAAAAAAAAAAAABAAAAGRycy9Q&#10;SwMEFAAAAAgAh07iQN7xh7HWAAAACAEAAA8AAABkcnMvZG93bnJldi54bWxNj09LxDAQxe+C3yGM&#10;4M1NqmyptemyrKyCnnYVobdsMrbFZlKa7L9v7+hFT8Nv3uPNm2px8oM44BT7QBqymQKBZIPrqdXw&#10;/ra+KUDEZMiZIRBqOGOERX15UZnShSNt8LBNreAQiqXR0KU0llJG26E3cRZGJNY+w+RNYpxa6SZz&#10;5HA/yFulculNT3yhMyOuOrRf273XMLw22XzZvDyn8/LDPtrV+qnJM62vrzL1ACLhKf2Z4ac+V4ea&#10;O+3CnlwUg4Y7dc9O3hc8Wf/lHXM+L0DWlfz/QP0NUEsDBBQAAAAIAIdO4kAbfK1j8wEAAKoDAAAO&#10;AAAAZHJzL2Uyb0RvYy54bWytU82O0zAQviPxDlbuNGnRot2o6R5aLZcFKu3C3XWcxMLxWDNu074E&#10;L4DECTgBp73zNLA8BmO3dFm4IXKw7Jn5vvnmJ9PzbW/FRiMZcFU2HhWZ0E5BbVxbZS+vLx6dZoKC&#10;dLW04HSV7TRl57OHD6aDL/UEOrC1RsEkjsrBV1kXgi/znFSne0kj8NqxswHsZeAntnmNcmD23uaT&#10;oniSD4C1R1CaiK2LvTObJf6m0Sq8aBrSQdgqY20hnZjOVTzz2VSWLUrfGXWQIf9BRS+N46RHqoUM&#10;UqzR/EXVG4VA0ISRgj6HpjFKpxq4mnHxRzVXnfQ61cLNIX9sE/0/WvV8s0Rhap7dOBNO9jyj27c3&#10;3998uP3y+dv7mx9f38X7p4+C/dyswVPJmLlbYixXbd2VvwT1moSDeSddq5Po651nooBrHUH5PVR8&#10;kOesq+EZ1Bwm1wFS87YN9qKxxr86YGMK7pHYpoHtjgPT2yDU3qjYevZ4cjo+SZlkGUkiziOFpxp6&#10;ES9VRgGlabswB+d4KwDHKaXcXFKIEu8AEezgwliblsM6MXB3zoqTIiEIrKmjN8YRtqu5RbGRcb/S&#10;d5BxLyxKWEjq9nG0owWEGCdLhLWr9/mtiwadlvYg6ler9n1fQb1bYgyOdl6IJPuwvHHjfn+nqLtf&#10;bP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3vGHsdYAAAAIAQAADwAAAAAAAAABACAAAAA4AAAA&#10;ZHJzL2Rvd25yZXYueG1sUEsBAhQAFAAAAAgAh07iQBt8rWPzAQAAqgMAAA4AAAAAAAAAAQAgAAAA&#10;OwEAAGRycy9lMm9Eb2MueG1sUEsFBgAAAAAGAAYAWQEAAKAFA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4.6</w:t>
            </w: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1296" behindDoc="0" locked="0" layoutInCell="1" allowOverlap="1">
                      <wp:simplePos x="0" y="0"/>
                      <wp:positionH relativeFrom="column">
                        <wp:posOffset>129540</wp:posOffset>
                      </wp:positionH>
                      <wp:positionV relativeFrom="paragraph">
                        <wp:posOffset>111760</wp:posOffset>
                      </wp:positionV>
                      <wp:extent cx="2235200" cy="8890"/>
                      <wp:effectExtent l="38100" t="38100" r="50800" b="86360"/>
                      <wp:wrapNone/>
                      <wp:docPr id="2966" name="直接箭头连接符 2966"/>
                      <wp:cNvGraphicFramePr/>
                      <a:graphic xmlns:a="http://schemas.openxmlformats.org/drawingml/2006/main">
                        <a:graphicData uri="http://schemas.microsoft.com/office/word/2010/wordprocessingShape">
                          <wps:wsp>
                            <wps:cNvCnPr>
                              <a:cxnSpLocks noChangeShapeType="true"/>
                            </wps:cNvCnPr>
                            <wps:spPr bwMode="auto">
                              <a:xfrm flipV="true">
                                <a:off x="0" y="0"/>
                                <a:ext cx="2235200" cy="889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y;margin-left:10.2pt;margin-top:8.8pt;height:0.7pt;width:176pt;z-index:251831296;mso-width-relative:page;mso-height-relative:page;" filled="f" stroked="t" coordsize="21600,21600" o:gfxdata="UEsFBgAAAAAAAAAAAAAAAAAAAAAAAFBLAwQKAAAAAACHTuJAAAAAAAAAAAAAAAAABAAAAGRycy9Q&#10;SwMEFAAAAAgAh07iQFMHTmfVAAAACAEAAA8AAABkcnMvZG93bnJldi54bWxNj81ugzAQhO+V8g7W&#10;RuqtsaEVpBQTVZGiHtuSPMAGO4DwD8JOCG/f7ak97jej2Zlyd7eG3fQUeu8kJBsBTLvGq961Ek7H&#10;w9MWWIjoFBrvtIRFB9hVq4cSC+Vn961vdWwZhbhQoIQuxrHgPDSdthg2ftSOtIufLEY6p5arCWcK&#10;t4anQmTcYu/oQ4ej3ne6GeqrlbDHOj8m9deyfL4fsktqho95OEn5uE7EG7Co7/HPDL/1qTpU1Ons&#10;r04FZiSk4oWcxPMMGOnPeUrgTOBVAK9K/n9A9QNQSwMEFAAAAAgAh07iQJ1R6bE3AgAAQQQAAA4A&#10;AABkcnMvZTJvRG9jLnhtbK1TsY4TMRDtkfgHyz3ZJMeFJMrmipyO5oCIHFA7Xu+uhddjjZ1s8hP8&#10;ABLVQQVU1/M1cHwGYycXAogG4cLy2PNm3sw8T842jWFrhV6DzXmv0+VMWQmFtlXOX1xdPBhy5oOw&#10;hTBgVc63yvOz6f17k9aNVR9qMIVCRkGsH7cu53UIbpxlXtaqEb4DTll6LAEbEcjEKitQtBS9MVm/&#10;2x1kLWDhEKTynm7Pd498muKXpZLhWVl6FZjJOXELace0L+OeTSdiXKFwtZZ7GuIfWDRCW0p6CHUu&#10;gmAr1H+EarRE8FCGjoQmg7LUUqUaqJpe97dqFrVwKtVCzfHu0Cb//8LKp+s5Ml3kvD8aDDizoqEp&#10;3b69+fbm/e3nT1+vb75/eRfPHz+w5EENa50fE25m5xhLlhu7cJcgX3tmYVYLW6lE/GrrKFTAlYpd&#10;zn5BRcM7yrxsn0BBbmIVIDVwU2LDSqPdyz02pqA+sU0a2vYwNLUJTNJlv39ySkrgTNLbcDhKM83E&#10;OAaKWIc+PFbQsHjIuQ8odFWHGVhL6gDspbRifelDpPkTEMEWLrQxSSTGspaynT6MuYSpSO4yYAJ7&#10;MLqIjhHisVrODLK1iJJLK9VPL8duCCtb7BIaG3EqqZVYRANWQeGiLlq2NCt8Lmg+lDdmLnSsggre&#10;GSTlyChZCOGVDnVqfmzT39jEe2FcLXYcTx6NRqM7ijvyqQ8HDsk6opdGGae3k8ISiu0c70ZMOk3+&#10;+z8VP8KxTefjnz/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FMHTmfVAAAACAEAAA8AAAAAAAAA&#10;AQAgAAAAOAAAAGRycy9kb3ducmV2LnhtbFBLAQIUABQAAAAIAIdO4kCdUemxNwIAAEEEAAAOAAAA&#10;AAAAAAEAIAAAADoBAABkcnMvZTJvRG9jLnhtbFBLBQYAAAAABgAGAFkBAADjBQAAAAA=&#10;">
                      <v:fill on="f" focussize="0,0"/>
                      <v:stroke weight="2pt" color="#000000" joinstyle="round"/>
                      <v:imagedata o:title=""/>
                      <o:lock v:ext="edit" aspectratio="f"/>
                      <v:shadow on="t" color="#000000" opacity="24903f" offset="0pt,1.5748031496063pt" origin="0f,32768f" matrix="65536f,0f,0f,65536f"/>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832320" behindDoc="0" locked="0" layoutInCell="1" allowOverlap="1">
                      <wp:simplePos x="0" y="0"/>
                      <wp:positionH relativeFrom="column">
                        <wp:posOffset>130175</wp:posOffset>
                      </wp:positionH>
                      <wp:positionV relativeFrom="paragraph">
                        <wp:posOffset>92710</wp:posOffset>
                      </wp:positionV>
                      <wp:extent cx="0" cy="922655"/>
                      <wp:effectExtent l="0" t="0" r="19050" b="10795"/>
                      <wp:wrapNone/>
                      <wp:docPr id="2947" name="直接箭头连接符 2947"/>
                      <wp:cNvGraphicFramePr/>
                      <a:graphic xmlns:a="http://schemas.openxmlformats.org/drawingml/2006/main">
                        <a:graphicData uri="http://schemas.microsoft.com/office/word/2010/wordprocessingShape">
                          <wps:wsp>
                            <wps:cNvCnPr>
                              <a:cxnSpLocks noChangeShapeType="true"/>
                            </wps:cNvCnPr>
                            <wps:spPr bwMode="auto">
                              <a:xfrm flipV="true">
                                <a:off x="0" y="0"/>
                                <a:ext cx="0" cy="92265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0.25pt;margin-top:7.3pt;height:72.65pt;width:0pt;z-index:251832320;mso-width-relative:page;mso-height-relative:page;" filled="f" stroked="t" coordsize="21600,21600" o:gfxdata="UEsFBgAAAAAAAAAAAAAAAAAAAAAAAFBLAwQKAAAAAACHTuJAAAAAAAAAAAAAAAAABAAAAGRycy9Q&#10;SwMEFAAAAAgAh07iQNbn6TrWAAAACAEAAA8AAABkcnMvZG93bnJldi54bWxNj81OwzAQhO9IvIO1&#10;SNyonYpENMSpqqKCBCcKQsrNtZckIl5Hsfv39ixc4PjtjGZnquXJD+KAU+wDachmCgSSDa6nVsP7&#10;2+bmDkRMhpwZAqGGM0ZY1pcXlSldONIrHrapFRxCsTQaupTGUspoO/QmzsKIxNpnmLxJjFMr3WSO&#10;HO4HOVeqkN70xB86M+K6Q/u13XsNw0uT5avm+SmdVx/2wa43j02RaX19lal7EAlP6c8MP/W5OtTc&#10;aRf25KIYNMxVzk6+3xYgWP/lHXO+WICsK/l/QP0NUEsDBBQAAAAIAIdO4kDjtK1C9QEAAK4DAAAO&#10;AAAAZHJzL2Uyb0RvYy54bWytU8GO0zAQvSPxD5bvNGlFFxo13UOr5bLASrtwdx0nsXA81ozbtD/B&#10;DyBxAk7Aae98DSyfge10uyzcEDlYHnvmzZvnl/nprjNsq5A02JKPRzlnykqotG1K/urq7NFTzsgL&#10;WwkDVpV8r4ifLh4+mPeuUBNowVQKWQCxVPSu5K33rsgykq3qBI3AKRsua8BO+BBik1Uo+oDemWyS&#10;5ydZD1g5BKmIwulquOSLhF/XSvqXdU3KM1PywM2nFdO6jmu2mIuiQeFaLQ80xD+w6IS2oekRaiW8&#10;YBvUf0F1WiIQ1H4kocugrrVUaYYwzTj/Y5rLVjiVZgnikDvKRP8PVr7YXiDTVckns8dPOLOiC690&#10;8+76x9uPN1+/fP9w/fPb+7j//ImljCBY76gIdUt7gXFkubOX7hzkG2IWlq2wjUrEr/YuQHncqKhy&#10;dq8qBuRC53X/HKqQJjYekoC7GjtWG+1eH2pji6AT26VH2x8fTe08k8OhDKezyeRkOk2dRBFBYp1D&#10;8s8UdCxuSk4ehW5avwRrgzMAx6ml2J6TjxTvCmKxhTNtTDKIsawP7p7l0zxVEBhdxduYR9islwbZ&#10;VkSPpe9A415apLAS1A55tKcV+MF+CBtbDf2NjYgqGfdA6laqQfc1VPsLvNUzmCLRPhg4uu73OKl+&#10;95st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W5+k61gAAAAgBAAAPAAAAAAAAAAEAIAAAADgA&#10;AABkcnMvZG93bnJldi54bWxQSwECFAAUAAAACACHTuJA47StQvUBAACuAwAADgAAAAAAAAABACAA&#10;AAA7AQAAZHJzL2Uyb0RvYy54bWxQSwUGAAAAAAYABgBZAQAAogUAAAAA&#10;">
                      <v:fill on="f" focussize="0,0"/>
                      <v:stroke weight="1.5pt" color="#000000" joinstyle="round" dashstyle="1 1"/>
                      <v:imagedata o:title=""/>
                      <o:lock v:ext="edit" aspectratio="f"/>
                    </v:shape>
                  </w:pict>
                </mc:Fallback>
              </mc:AlternateContent>
            </w: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4368" behindDoc="0" locked="0" layoutInCell="1" allowOverlap="1">
                      <wp:simplePos x="0" y="0"/>
                      <wp:positionH relativeFrom="column">
                        <wp:posOffset>44450</wp:posOffset>
                      </wp:positionH>
                      <wp:positionV relativeFrom="paragraph">
                        <wp:posOffset>92710</wp:posOffset>
                      </wp:positionV>
                      <wp:extent cx="0" cy="655320"/>
                      <wp:effectExtent l="0" t="0" r="19050" b="11430"/>
                      <wp:wrapNone/>
                      <wp:docPr id="58" name="直接箭头连接符 58"/>
                      <wp:cNvGraphicFramePr/>
                      <a:graphic xmlns:a="http://schemas.openxmlformats.org/drawingml/2006/main">
                        <a:graphicData uri="http://schemas.microsoft.com/office/word/2010/wordprocessingShape">
                          <wps:wsp>
                            <wps:cNvCnPr>
                              <a:cxnSpLocks noChangeShapeType="true"/>
                            </wps:cNvCnPr>
                            <wps:spPr bwMode="auto">
                              <a:xfrm flipV="true">
                                <a:off x="0" y="0"/>
                                <a:ext cx="0" cy="65532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3.5pt;margin-top:7.3pt;height:51.6pt;width:0pt;z-index:251834368;mso-width-relative:page;mso-height-relative:page;" filled="f" stroked="t" coordsize="21600,21600" o:gfxdata="UEsFBgAAAAAAAAAAAAAAAAAAAAAAAFBLAwQKAAAAAACHTuJAAAAAAAAAAAAAAAAABAAAAGRycy9Q&#10;SwMEFAAAAAgAh07iQBSfksDVAAAABgEAAA8AAABkcnMvZG93bnJldi54bWxNj01PwzAMhu9I/IfI&#10;SNxYGgTd1DWdpqGBBCcGQuotS7y2onGqJvv693gndnz8Wq8fl4uT78UBx9gF0qAmGQgkG1xHjYbv&#10;r/XDDERMhpzpA6GGM0ZYVLc3pSlcONInHjapEVxCsTAa2pSGQspoW/QmTsKAxNkujN4kxrGRbjRH&#10;Lve9fMyyXHrTEV9ozYCrFu3vZu819B+1el7W72/pvPyxL3a1fq1zpfX9ncrmIBKe0v8yXPRZHSp2&#10;2oY9uSh6DVP+JPH4KQfB8QW3jGo6A1mV8lq/+gNQSwMEFAAAAAgAh07iQPyeij/0AQAAqgMAAA4A&#10;AABkcnMvZTJvRG9jLnhtbK1TwY7TMBC9I/EPlu80aVFXEDXdQ6vlskClXbi7jpNYOB7L4zbtT/AD&#10;SJyAE3DaO1/D7n4GY6fbXeCGyMGyPZ43b968zE53nWFb5VGDLfl4lHOmrIRK26bkby7PnjzjDIOw&#10;lTBgVcn3Cvnp/PGjWe8KNYEWTKU8IxCLRe9K3obgiixD2apO4AicshSswXci0NE3WeVFT+idySZ5&#10;fpL14CvnQSpEul0OQT5P+HWtZHhd16gCMyUnbiGtPq3ruGbzmSgaL1yr5YGG+AcWndCWih6hliII&#10;tvH6L6hOSw8IdRhJ6DKoay1V6oG6Ged/dHPRCqdSLyQOuqNM+P9g5avtyjNdlXxKk7KioxndfLi6&#10;fv/55vu3n5+ubn98jPuvXxjFSazeYUE5C7vysV25sxfuHOQ7ZBYWrbCNSqQv946Agt+omJT9lhUP&#10;6Kjqun8JFT0TmwBJvF3tO1Yb7d4ecmMJ0ojt0sD2x4GpXWByuJR0ezKdPp2kWWaiiCAxz3kMLxR0&#10;LG5KjsEL3bRhAdaSK8CPU0mxPccQKd4nxGQLZ9qYZA5jWU/Ofp5P85SBYHQVo/Ed+ma9MJ5tRfRX&#10;+lLDFHn4LFJYCmyHd7jHJYTBeh42thrqGxsRVTLtgdSdVIPua6j2K3+nJxki0T6YNzru4Tmpfv+L&#10;z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FJ+SwNUAAAAGAQAADwAAAAAAAAABACAAAAA4AAAA&#10;ZHJzL2Rvd25yZXYueG1sUEsBAhQAFAAAAAgAh07iQPyeij/0AQAAqgMAAA4AAAAAAAAAAQAgAAAA&#10;OgEAAGRycy9lMm9Eb2MueG1sUEsFBgAAAAAGAAYAWQEAAKAFA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10.3</w:t>
            </w: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水泵房、水仓及配电硐室</w:t>
            </w:r>
          </w:p>
        </w:tc>
        <w:tc>
          <w:tcPr>
            <w:tcW w:w="1020" w:type="dxa"/>
            <w:shd w:val="clear" w:color="auto" w:fill="auto"/>
            <w:vAlign w:val="center"/>
          </w:tcPr>
          <w:p>
            <w:pPr>
              <w:spacing w:line="240" w:lineRule="exact"/>
              <w:jc w:val="center"/>
              <w:rPr>
                <w:rFonts w:asciiTheme="minorEastAsia" w:hAnsiTheme="minorEastAsia" w:eastAsiaTheme="minorEastAsia"/>
                <w:sz w:val="24"/>
              </w:rPr>
            </w:pP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&lt;1000&gt;</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45m中段运输巷道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0.8</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75m中段运输巷道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3344" behindDoc="0" locked="0" layoutInCell="1" allowOverlap="1">
                      <wp:simplePos x="0" y="0"/>
                      <wp:positionH relativeFrom="column">
                        <wp:posOffset>46990</wp:posOffset>
                      </wp:positionH>
                      <wp:positionV relativeFrom="paragraph">
                        <wp:posOffset>74295</wp:posOffset>
                      </wp:positionV>
                      <wp:extent cx="680085" cy="5080"/>
                      <wp:effectExtent l="38100" t="38100" r="62865" b="90170"/>
                      <wp:wrapNone/>
                      <wp:docPr id="59" name="直接箭头连接符 59"/>
                      <wp:cNvGraphicFramePr/>
                      <a:graphic xmlns:a="http://schemas.openxmlformats.org/drawingml/2006/main">
                        <a:graphicData uri="http://schemas.microsoft.com/office/word/2010/wordprocessingShape">
                          <wps:wsp>
                            <wps:cNvCnPr>
                              <a:cxnSpLocks noChangeShapeType="true"/>
                            </wps:cNvCnPr>
                            <wps:spPr bwMode="auto">
                              <a:xfrm>
                                <a:off x="0" y="0"/>
                                <a:ext cx="680085" cy="508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3.7pt;margin-top:5.85pt;height:0.4pt;width:53.55pt;z-index:251833344;mso-width-relative:page;mso-height-relative:page;" filled="f" stroked="t" coordsize="21600,21600" o:gfxdata="UEsFBgAAAAAAAAAAAAAAAAAAAAAAAFBLAwQKAAAAAACHTuJAAAAAAAAAAAAAAAAABAAAAGRycy9Q&#10;SwMEFAAAAAgAh07iQBJ0fLvXAAAABwEAAA8AAABkcnMvZG93bnJldi54bWxNjsFOwzAQRO9I/IO1&#10;SNyokyqlKMTpATXihBAtHHpz4yUJsddR7KSFr2d7gtvszGj2FZuzs2LGMXSeFKSLBARS7U1HjYL3&#10;fXX3ACJETUZbT6jgGwNsyuurQufGn+gN511sBI9QyLWCNsYhlzLULTodFn5A4uzTj05HPsdGmlGf&#10;eNxZuUySe+l0R/yh1QM+tVj3u8kp6LfVNG+fs59++Hr5qLL+cHi1g1K3N2nyCCLiOf6V4YLP6FAy&#10;09FPZIKwCtYZF9lO1yAucZqtQBxZLFcgy0L+5y9/AVBLAwQUAAAACACHTuJAO3O2mjACAAAvBAAA&#10;DgAAAGRycy9lMm9Eb2MueG1srVPNjtMwEL4j8Q6W72zSQpc22nQPXS2XBVbsIs6u4yQWjscaO037&#10;ErwAEifgBJz2ztPA8hiM3W1VQFwQOVgez9838305OV13hq0Ueg225KOjnDNlJVTaNiV/eX3+YMqZ&#10;D8JWwoBVJd8oz0/n9++dDK5QY2jBVAoZFbG+GFzJ2xBckWVetqoT/gicsuSsATsRyMQmq1AMVL0z&#10;2TjPj7MBsHIIUnlPr2dbJ5+n+nWtZHhe114FZkpO2EI6MZ3LeGbzE1E0KFyr5R0M8Q8oOqEtNd2X&#10;OhNBsB71H6U6LRE81OFIQpdBXWup0gw0zSj/bZqrVjiVZqHleLdfk/9/ZeWz1SUyXZV8MuPMio44&#10;un178/3Nh9svn7+9v/nx9V28f/rIyE/LGpwvKGdhLzGOK9f2yl2AfO2ZhUUrbKMS6OuNo0IBexWT&#10;sl+youEddV0OT6GiMNEHSMtb19jFqrQWtk4cbfYcqXVgkh6Pp3k+nXAmyTXJp4nBTBS7VIc+PFHQ&#10;sXgpuQ8odNOGBVhLWgAcpUZideFDBCaKXULsa+FcG5MkYSwbSj6ePMpJNcI0JG4ZMCV7MLqKgTHF&#10;Y7NcGGQrEQWWvjQxeQ7DEHpbbRsaG/NU0iahSPP2QeFVWw1saXp8IYgN6hs7VzpOQULfGiTciChZ&#10;COGVDm1ad9zS39DEd2FcK7YYHz6ezRKTNPsd+LQH2GFI1gG8RF7ka0v+EqrNJe5IJVWm+Ls/KMr+&#10;0Kb74X8+/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SdHy71wAAAAcBAAAPAAAAAAAAAAEAIAAA&#10;ADgAAABkcnMvZG93bnJldi54bWxQSwECFAAUAAAACACHTuJAO3O2mjACAAAvBAAADgAAAAAAAAAB&#10;ACAAAAA8AQAAZHJzL2Uyb0RvYy54bWxQSwUGAAAAAAYABgBZAQAA3g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105m中段运输巷道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0272" behindDoc="0" locked="0" layoutInCell="1" allowOverlap="1">
                      <wp:simplePos x="0" y="0"/>
                      <wp:positionH relativeFrom="column">
                        <wp:posOffset>194945</wp:posOffset>
                      </wp:positionH>
                      <wp:positionV relativeFrom="paragraph">
                        <wp:posOffset>47625</wp:posOffset>
                      </wp:positionV>
                      <wp:extent cx="753745" cy="9525"/>
                      <wp:effectExtent l="38100" t="38100" r="65405" b="85725"/>
                      <wp:wrapNone/>
                      <wp:docPr id="60" name="直接箭头连接符 60"/>
                      <wp:cNvGraphicFramePr/>
                      <a:graphic xmlns:a="http://schemas.openxmlformats.org/drawingml/2006/main">
                        <a:graphicData uri="http://schemas.microsoft.com/office/word/2010/wordprocessingShape">
                          <wps:wsp>
                            <wps:cNvCnPr>
                              <a:cxnSpLocks noChangeShapeType="true"/>
                            </wps:cNvCnPr>
                            <wps:spPr bwMode="auto">
                              <a:xfrm flipV="true">
                                <a:off x="0" y="0"/>
                                <a:ext cx="753745" cy="9525"/>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y;margin-left:15.35pt;margin-top:3.75pt;height:0.75pt;width:59.35pt;z-index:251830272;mso-width-relative:page;mso-height-relative:page;" filled="f" stroked="t" coordsize="21600,21600" o:gfxdata="UEsFBgAAAAAAAAAAAAAAAAAAAAAAAFBLAwQKAAAAAACHTuJAAAAAAAAAAAAAAAAABAAAAGRycy9Q&#10;SwMEFAAAAAgAh07iQJb7ATjUAAAABgEAAA8AAABkcnMvZG93bnJldi54bWxNjstuwjAURPeV+Afr&#10;InVX7FBKSpobVCGhLlsCH2DiSxLFjyg2hPx9zapdjmZ05uTbu9HsRoNvnUVIFgIY2cqp1tYIp+P+&#10;5R2YD9IqqZ0lhIk8bIvZUy4z5UZ7oFsZahYh1mcSoQmhzzj3VUNG+oXrycbu4gYjQ4xDzdUgxwg3&#10;mi+FWHMjWxsfGtnTrqGqK68GYSfL9JiUP9P0/blfX5a6+xq7E+LzPBEfwALdw98YHvpRHYrodHZX&#10;qzzTCK8ijUuE9A3Yo15tVsDOCBsBvMj5f/3iF1BLAwQUAAAACACHTuJATFj+czUCAAA8BAAADgAA&#10;AGRycy9lMm9Eb2MueG1srVPBbhMxEL0j8Q+W72STtGlIlE0PqcqlQEUKnB2vd9fC67HGTjb5CX4A&#10;iVPhBJx652ugfAZjJw0piAtiD9aO7Tfz5s3z5HTdGLZS6DXYnPc6Xc6UlVBoW+X85dX5o8ec+SBs&#10;IQxYlfON8vx0+vDBpHVj1YcaTKGQURLrx63LeR2CG2eZl7VqhO+AU5YOS8BGBAqxygoULWVvTNbv&#10;dk+yFrBwCFJ5T7tn20M+TfnLUsnwvCy9CszknLiFtGJaF3HNphMxrlC4WssdDfEPLBqhLRXdpzoT&#10;QbAl6j9SNVoieChDR0KTQVlqqVIP1E2v+1s381o4lXohcbzby+T/X1r5bHWJTBc5PyF5rGhoRrfv&#10;br6//XD75fO365sfX9/H/08fGZ2TWK3zY8LM7CXGduXazt0FyDeeWZjVwlYqkb7aOEoUcKkiKLuH&#10;ioF3VHXRPoWCrollgCTeusSGlUa7VztsLEEasXUa2GY/MLUOTNLmcHA0PB5wJuloNOgPUjExjnki&#10;1KEPTxQ0LP7k3AcUuqrDDKwlYwD2UlWxuvAhsvwFiGAL59qY5A9jWZvz/uC4SxoJU5HTZcAE9mB0&#10;ES9GiMdqMTPIViK6LX07RveuISxtsS1obMSpZFRiEQNYBoXzumjZwizxhaDRUN1YudCxC3L9NiAX&#10;R0YpQgivdaiT9lGlv7GJ+8K4Wmw5Hg1Ho9EdxS35pMOeQ4oO6KVJxuFtnbCAYnOJdxMmi6b7u+cU&#10;38BhTP+Hj376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Jb7ATjUAAAABgEAAA8AAAAAAAAAAQAg&#10;AAAAOAAAAGRycy9kb3ducmV2LnhtbFBLAQIUABQAAAAIAIdO4kBMWP5zNQIAADwEAAAOAAAAAAAA&#10;AAEAIAAAADkBAABkcnMvZTJvRG9jLnhtbFBLBQYAAAAABgAGAFkBAADgBQ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6.4</w:t>
            </w: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020" w:type="dxa"/>
            <w:shd w:val="clear" w:color="auto" w:fill="auto"/>
            <w:vAlign w:val="center"/>
          </w:tcPr>
          <w:p>
            <w:pPr>
              <w:spacing w:line="240" w:lineRule="exact"/>
              <w:jc w:val="center"/>
              <w:rPr>
                <w:rFonts w:asciiTheme="minorEastAsia" w:hAnsiTheme="minorEastAsia" w:eastAsiaTheme="minorEastAsia"/>
                <w:sz w:val="24"/>
              </w:rPr>
            </w:pP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&lt;1200&gt;</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    计</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c>
          <w:tcPr>
            <w:tcW w:w="941" w:type="dxa"/>
            <w:shd w:val="clear" w:color="auto" w:fill="auto"/>
            <w:vAlign w:val="center"/>
          </w:tcPr>
          <w:p>
            <w:pPr>
              <w:spacing w:line="240" w:lineRule="exact"/>
              <w:jc w:val="center"/>
              <w:rPr>
                <w:rFonts w:asciiTheme="minorEastAsia" w:hAnsiTheme="minorEastAsia" w:eastAsiaTheme="minorEastAsia"/>
                <w:sz w:val="24"/>
              </w:rPr>
            </w:pPr>
          </w:p>
        </w:tc>
        <w:tc>
          <w:tcPr>
            <w:tcW w:w="944"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bl>
    <w:p>
      <w:pPr>
        <w:pStyle w:val="98"/>
        <w:ind w:firstLine="0" w:firstLineChars="0"/>
        <w:jc w:val="center"/>
        <w:rPr>
          <w:rFonts w:hAnsi="宋体"/>
          <w:b/>
        </w:rPr>
      </w:pPr>
    </w:p>
    <w:p>
      <w:pPr>
        <w:pStyle w:val="98"/>
        <w:ind w:firstLine="0" w:firstLineChars="0"/>
        <w:jc w:val="center"/>
        <w:rPr>
          <w:rFonts w:hAnsi="宋体"/>
          <w:b/>
        </w:rPr>
      </w:pPr>
    </w:p>
    <w:p>
      <w:pPr>
        <w:snapToGrid w:val="0"/>
        <w:spacing w:line="360" w:lineRule="auto"/>
        <w:jc w:val="center"/>
        <w:rPr>
          <w:rFonts w:ascii="仿宋" w:hAnsi="仿宋" w:eastAsia="仿宋"/>
          <w:b/>
          <w:sz w:val="24"/>
        </w:rPr>
        <w:sectPr>
          <w:headerReference r:id="rId13" w:type="default"/>
          <w:pgSz w:w="16838" w:h="11906" w:orient="landscape"/>
          <w:pgMar w:top="1800" w:right="1440" w:bottom="1800" w:left="1440" w:header="851" w:footer="782" w:gutter="0"/>
          <w:cols w:space="425" w:num="1"/>
          <w:docGrid w:type="lines" w:linePitch="312" w:charSpace="0"/>
        </w:sectPr>
      </w:pPr>
    </w:p>
    <w:p>
      <w:pPr>
        <w:snapToGrid w:val="0"/>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表4-6-2 基建掘进进度计划表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1001"/>
        <w:gridCol w:w="925"/>
        <w:gridCol w:w="936"/>
        <w:gridCol w:w="911"/>
        <w:gridCol w:w="622"/>
        <w:gridCol w:w="622"/>
        <w:gridCol w:w="696"/>
        <w:gridCol w:w="696"/>
        <w:gridCol w:w="696"/>
        <w:gridCol w:w="696"/>
        <w:gridCol w:w="625"/>
        <w:gridCol w:w="696"/>
        <w:gridCol w:w="625"/>
        <w:gridCol w:w="625"/>
        <w:gridCol w:w="625"/>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2572" w:type="dxa"/>
            <w:vMerge w:val="restart"/>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工程名称</w:t>
            </w:r>
          </w:p>
        </w:tc>
        <w:tc>
          <w:tcPr>
            <w:tcW w:w="100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长度</w:t>
            </w:r>
          </w:p>
        </w:tc>
        <w:tc>
          <w:tcPr>
            <w:tcW w:w="92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工程量</w:t>
            </w:r>
          </w:p>
        </w:tc>
        <w:tc>
          <w:tcPr>
            <w:tcW w:w="93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定额</w:t>
            </w:r>
          </w:p>
        </w:tc>
        <w:tc>
          <w:tcPr>
            <w:tcW w:w="91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时间</w:t>
            </w:r>
          </w:p>
        </w:tc>
        <w:tc>
          <w:tcPr>
            <w:tcW w:w="622"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3</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2"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15</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16</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18</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20</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21</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23</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0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72" w:type="dxa"/>
            <w:vMerge w:val="continue"/>
            <w:vAlign w:val="center"/>
          </w:tcPr>
          <w:p>
            <w:pPr>
              <w:spacing w:line="360" w:lineRule="auto"/>
              <w:ind w:firstLine="480" w:firstLineChars="200"/>
              <w:jc w:val="center"/>
              <w:rPr>
                <w:rFonts w:asciiTheme="minorEastAsia" w:hAnsiTheme="minorEastAsia" w:eastAsiaTheme="minorEastAsia"/>
                <w:sz w:val="24"/>
              </w:rPr>
            </w:pPr>
          </w:p>
        </w:tc>
        <w:tc>
          <w:tcPr>
            <w:tcW w:w="100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w:t>
            </w:r>
          </w:p>
        </w:tc>
        <w:tc>
          <w:tcPr>
            <w:tcW w:w="92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m3</w:t>
            </w:r>
          </w:p>
        </w:tc>
        <w:tc>
          <w:tcPr>
            <w:tcW w:w="93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m/月</w:t>
            </w:r>
          </w:p>
        </w:tc>
        <w:tc>
          <w:tcPr>
            <w:tcW w:w="91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2" w:type="dxa"/>
            <w:vAlign w:val="center"/>
          </w:tcPr>
          <w:p>
            <w:pPr>
              <w:spacing w:line="240" w:lineRule="exact"/>
              <w:jc w:val="center"/>
              <w:rPr>
                <w:rFonts w:asciiTheme="minorEastAsia" w:hAnsiTheme="minorEastAsia" w:eastAsiaTheme="minorEastAsia"/>
                <w:sz w:val="24"/>
              </w:rPr>
            </w:pPr>
          </w:p>
        </w:tc>
        <w:tc>
          <w:tcPr>
            <w:tcW w:w="622"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restart"/>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安装调试及试运行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12.8</w:t>
            </w:r>
          </w:p>
        </w:tc>
        <w:tc>
          <w:tcPr>
            <w:tcW w:w="622"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6416" behindDoc="0" locked="0" layoutInCell="1" allowOverlap="1">
                      <wp:simplePos x="0" y="0"/>
                      <wp:positionH relativeFrom="column">
                        <wp:posOffset>-29845</wp:posOffset>
                      </wp:positionH>
                      <wp:positionV relativeFrom="paragraph">
                        <wp:posOffset>107315</wp:posOffset>
                      </wp:positionV>
                      <wp:extent cx="1050925" cy="3810"/>
                      <wp:effectExtent l="38100" t="38100" r="53975" b="91440"/>
                      <wp:wrapNone/>
                      <wp:docPr id="2953" name="直接箭头连接符 2953"/>
                      <wp:cNvGraphicFramePr/>
                      <a:graphic xmlns:a="http://schemas.openxmlformats.org/drawingml/2006/main">
                        <a:graphicData uri="http://schemas.microsoft.com/office/word/2010/wordprocessingShape">
                          <wps:wsp>
                            <wps:cNvCnPr>
                              <a:cxnSpLocks noChangeShapeType="true"/>
                            </wps:cNvCnPr>
                            <wps:spPr bwMode="auto">
                              <a:xfrm>
                                <a:off x="0" y="0"/>
                                <a:ext cx="1050925" cy="381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35pt;margin-top:8.45pt;height:0.3pt;width:82.75pt;z-index:251836416;mso-width-relative:page;mso-height-relative:page;" filled="f" stroked="t" coordsize="21600,21600" o:gfxdata="UEsFBgAAAAAAAAAAAAAAAAAAAAAAAFBLAwQKAAAAAACHTuJAAAAAAAAAAAAAAAAABAAAAGRycy9Q&#10;SwMEFAAAAAgAh07iQDVwb3jYAAAACAEAAA8AAABkcnMvZG93bnJldi54bWxNj81OwzAQhO9IvIO1&#10;SNxauyikEOL0gBpxQogCh97ceElC/KfYSQtPz/YEt92d0ew35eZkDZtxjL13ElZLAQxd43XvWgnv&#10;b/XiDlhMymllvEMJ3xhhU11elKrQ/uhecd6lllGIi4WS0KUUCs5j06FVcekDOtI+/WhVonVsuR7V&#10;kcKt4TdC5Nyq3tGHTgV87LAZdpOVMGzrad4+ZT9D+Hr+qLNhv38xQcrrq5V4AJbwlP7McMYndKiI&#10;6eAnpyMzEhbZmpx0z++BnfVcUJUDDetb4FXJ/xeofgFQSwMEFAAAAAgAh07iQI1DHVwyAgAANAQA&#10;AA4AAABkcnMvZTJvRG9jLnhtbK1TzY7TMBC+I/EOlu9s0i6FbbTpHrpaLgtUdBFn13ESC8djjd2m&#10;fQleAIkTcAJOe+dpYHkMxs52VUBcEDlYHs/fN998OT3bdoZtFHoNtuSjo5wzZSVU2jYlf3l18eCE&#10;Mx+ErYQBq0q+U56fze7fO+1docbQgqkUMipifdG7krchuCLLvGxVJ/wROGXJWQN2IpCJTVah6Kl6&#10;Z7Jxnj/KesDKIUjlPb2eD04+S/XrWsnwvK69CsyUnLCFdGI6V/HMZqeiaFC4VstbGOIfUHRCW2p6&#10;V+pcBMHWqP8o1WmJ4KEORxK6DOpaS5VmoGlG+W/TLFvhVJqFyPHujib//8rKZ5sFMl2VfDydHHNm&#10;RUdbunl7/f3Nh5svn7+9v/7x9V28f/rIUgQR1jtfUN7cLjCOLLd26S5BvvbMwrwVtlEJ+NXOUamA&#10;axVZzn7JioZ31HnVP4WKwsQ6QCJwW2MXqxI1bJv2tLvbk9oGJulxlE/y6XjCmSTf8ckorTETxT7X&#10;oQ9PFHQsXkruAwrdtGEO1pIgAEepk9hc+hCRiWKfEBtbuNDGJF0Yy3oiZvIwJ+kI05DCZcCU7MHo&#10;KgbGFI/Nam6QbURUWfrSyOQ5DENY22poaGzMU0mghCINvA4Kl23Vs5VZ4wtBK6G+sXOl4xSk9sEg&#10;9UZEyUIIr3RoE9+Rpr+hie/CuFYMGI8fT6fTPcQBfOIB9hiSdQAvbS8ubNj+CqrdAvdbJWmm+Nvf&#10;KGr/0Kb74c8++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A1cG942AAAAAgBAAAPAAAAAAAAAAEA&#10;IAAAADgAAABkcnMvZG93bnJldi54bWxQSwECFAAUAAAACACHTuJAjUMdXDICAAA0BAAADgAAAAAA&#10;AAABACAAAAA9AQAAZHJzL2Uyb0RvYy54bWxQSwUGAAAAAAYABgBZAQAA4Q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7440" behindDoc="0" locked="0" layoutInCell="1" allowOverlap="1">
                      <wp:simplePos x="0" y="0"/>
                      <wp:positionH relativeFrom="column">
                        <wp:posOffset>211455</wp:posOffset>
                      </wp:positionH>
                      <wp:positionV relativeFrom="paragraph">
                        <wp:posOffset>61595</wp:posOffset>
                      </wp:positionV>
                      <wp:extent cx="0" cy="433070"/>
                      <wp:effectExtent l="0" t="0" r="19050" b="24130"/>
                      <wp:wrapNone/>
                      <wp:docPr id="2954" name="直接箭头连接符 2954"/>
                      <wp:cNvGraphicFramePr/>
                      <a:graphic xmlns:a="http://schemas.openxmlformats.org/drawingml/2006/main">
                        <a:graphicData uri="http://schemas.microsoft.com/office/word/2010/wordprocessingShape">
                          <wps:wsp>
                            <wps:cNvCnPr>
                              <a:cxnSpLocks noChangeShapeType="true"/>
                            </wps:cNvCnPr>
                            <wps:spPr bwMode="auto">
                              <a:xfrm flipV="true">
                                <a:off x="0" y="0"/>
                                <a:ext cx="0" cy="43307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6.65pt;margin-top:4.85pt;height:34.1pt;width:0pt;z-index:251837440;mso-width-relative:page;mso-height-relative:page;" filled="f" stroked="t" coordsize="21600,21600" o:gfxdata="UEsFBgAAAAAAAAAAAAAAAAAAAAAAAFBLAwQKAAAAAACHTuJAAAAAAAAAAAAAAAAABAAAAGRycy9Q&#10;SwMEFAAAAAgAh07iQO4jxtnVAAAABgEAAA8AAABkcnMvZG93bnJldi54bWxNjk1PwzAQRO9I/Adr&#10;kbhRJ0Q0NGRTVUUFiZ4oVaXcXGdJIux1FLtf/x7DBY6jGb155fxsjTjS6HvHCOkkAUGsXdNzi7D9&#10;WN09gvBBcaOMY0K4kId5dX1VqqJxJ36n4ya0IkLYFwqhC2EopPS6I6v8xA3Esft0o1UhxrGVzahO&#10;EW6NvE+SqbSq5/jQqYGWHemvzcEimHWdPizqt9dwWez0s16uXuppinh7kyZPIAKdw98YfvSjOlTR&#10;ae8O3HhhELIsi0uEWQ4i1r9xj5DnM5BVKf/rV99QSwMEFAAAAAgAh07iQMW2n9n3AQAArgMAAA4A&#10;AABkcnMvZTJvRG9jLnhtbK1TwXLTMBC9M8M/aHQndtIWqCdOD8mUS4HMtHBXZNnWIGs1u0qc/AQ/&#10;wAwn4ASceudroHwGkpymBW4MPmgk7e7bt0/P07NtZ9hGIWmwJR+Pcs6UlVBp25T81dX5o6eckRe2&#10;EgasKvlOET+bPXww7V2hJtCCqRSyAGKp6F3JW+9dkWUkW9UJGoFTNgRrwE74cMQmq1D0Ab0z2STP&#10;H2c9YOUQpCIKt4shyGcJv66V9C/rmpRnpuSBm08rpnUV12w2FUWDwrVa7mmIf2DRCW1D0wPUQnjB&#10;1qj/guq0RCCo/UhCl0Fda6nSDGGacf7HNJetcCrNEsQhd5CJ/h+sfLFZItNVySenJ8ecWdGFV7p5&#10;d/3j7cebr1++f7j++e193H/+xFJGEKx3VIS6uV1iHFlu7aW7APmGmIV5K2yjEvGrnQtQHtcqqpz9&#10;VhUP5ELnVf8cqpAm1h6SgNsaO1Yb7V7va2OLoBPbpkfbHR5NbT2Tw6UMt8dHR/mT9J6ZKCJIrHNI&#10;/pmCjsVNycmj0E3r52BtcAbgOLUUmwvykeJdQSy2cK6NSQYxlvXB3af5SZ4qCIyuYjTmETaruUG2&#10;EdFj6UsDh8j9tEhhIagd8mhHC/CD/RDWthr6GxsRVTLuntStVIPuK6h2S7zVM5gi0d4bOLru/jmp&#10;fvebz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7iPG2dUAAAAGAQAADwAAAAAAAAABACAAAAA4&#10;AAAAZHJzL2Rvd25yZXYueG1sUEsBAhQAFAAAAAgAh07iQMW2n9n3AQAArgMAAA4AAAAAAAAAAQAg&#10;AAAAOgEAAGRycy9lMm9Eb2MueG1sUEsFBgAAAAAGAAYAWQEAAKMFA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14.6</w: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水泵房、水仓及配电硐室</w:t>
            </w:r>
          </w:p>
        </w:tc>
        <w:tc>
          <w:tcPr>
            <w:tcW w:w="1001" w:type="dxa"/>
            <w:shd w:val="clear" w:color="auto" w:fill="auto"/>
            <w:vAlign w:val="center"/>
          </w:tcPr>
          <w:p>
            <w:pPr>
              <w:spacing w:line="240" w:lineRule="exact"/>
              <w:jc w:val="center"/>
              <w:rPr>
                <w:rFonts w:asciiTheme="minorEastAsia" w:hAnsiTheme="minorEastAsia" w:eastAsiaTheme="minorEastAsia"/>
                <w:sz w:val="24"/>
              </w:rPr>
            </w:pP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&lt;1000&gt;</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9488" behindDoc="0" locked="0" layoutInCell="1" allowOverlap="1">
                      <wp:simplePos x="0" y="0"/>
                      <wp:positionH relativeFrom="column">
                        <wp:posOffset>116205</wp:posOffset>
                      </wp:positionH>
                      <wp:positionV relativeFrom="paragraph">
                        <wp:posOffset>104775</wp:posOffset>
                      </wp:positionV>
                      <wp:extent cx="549910" cy="0"/>
                      <wp:effectExtent l="38100" t="38100" r="59690" b="95250"/>
                      <wp:wrapNone/>
                      <wp:docPr id="4" name="直接箭头连接符 4"/>
                      <wp:cNvGraphicFramePr/>
                      <a:graphic xmlns:a="http://schemas.openxmlformats.org/drawingml/2006/main">
                        <a:graphicData uri="http://schemas.microsoft.com/office/word/2010/wordprocessingShape">
                          <wps:wsp>
                            <wps:cNvCnPr>
                              <a:cxnSpLocks noChangeShapeType="true"/>
                            </wps:cNvCnPr>
                            <wps:spPr bwMode="auto">
                              <a:xfrm>
                                <a:off x="0" y="0"/>
                                <a:ext cx="549910"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9.15pt;margin-top:8.25pt;height:0pt;width:43.3pt;z-index:251839488;mso-width-relative:page;mso-height-relative:page;" filled="f" stroked="t" coordsize="21600,21600" o:gfxdata="UEsFBgAAAAAAAAAAAAAAAAAAAAAAAFBLAwQKAAAAAACHTuJAAAAAAAAAAAAAAAAABAAAAGRycy9Q&#10;SwMEFAAAAAgAh07iQJme6wbXAAAACAEAAA8AAABkcnMvZG93bnJldi54bWxNjzFPwzAQhXck/oN1&#10;SGzULoSqpHE6oEZMCFFg6ObGbhJin63YSQu/nqsYYDq9e0/vvivWJ2fZZIbYeZQwnwlgBmuvO2wk&#10;vL9VN0tgMSnUyno0Er5MhHV5eVGoXPsjvpppmxpGJRhzJaFNKeScx7o1TsWZDwbJO/jBqURyaLge&#10;1JHKneW3Qiy4Ux3ShVYF89iaut+OTkK/qcZp85R99+Hz+aPK+t3uxQYpr6/mYgUsmVP6C8MZn9Ch&#10;JKa9H1FHZkkv7yhJc3EP7OyL7AHY/nfBy4L/f6D8AVBLAwQUAAAACACHTuJA9iJllykCAAAqBAAA&#10;DgAAAGRycy9lMm9Eb2MueG1srVPBjtMwEL0j8Q+W7zRt6QKNmu6hq+WywIou4uw6TmLheKyx27Q/&#10;wQ8gcWI5Aae98zWwfAZjZ1sVEBdEDpbH9rx5M+9ldrptDdso9BpswUeDIWfKSii1rQv+6ur8wRPO&#10;fBC2FAasKvhOeX46v39v1rlcjaEBUypkBGJ93rmCNyG4PMu8bFQr/ACcsnRZAbYiUIh1VqLoCL01&#10;2Xg4fJR1gKVDkMp7Oj3rL/k84VeVkuFFVXkVmCk4cQtpxbSu4prNZyKvUbhGyzsa4h9YtEJbKnqA&#10;OhNBsDXqP6BaLRE8VGEgoc2gqrRUqQfqZjT8rZtlI5xKvdBwvDuMyf8/WPl8c4lMlwWfcGZFSxLd&#10;vrv5/vb69svnbx9ufnx9H/efPrJJHFXnfE4ZC3uJsVm5tUt3AfKNZxYWjbC1SpSvdo5wAq5VTMp+&#10;yYqBd1Rz1T2Dkp6JdYA0um2FbUSlobBtUmh3UEhtA5N0eDKZTkeko9xfZSLf5zn04amClsVNwX1A&#10;oesmLMBasgHgKFURmwsfIiuR7xNiUQvn2pjkBmNZV/DxyWRIhYSpydcyYEr2YHQZH8YUj/VqYZBt&#10;RPRW+lK7dHP8DGFty76gsTFPJVsSi9TsOihcNmXHVmaNL0UUIkJxVurYBXm8D8izkVGKEMJrHZo0&#10;6ziiv7GJ58K4RvQcHz6eTqd7ij35NAfYc0jREb2kXBSrV34F5e4S94qSIdP7u58nOv44pv3xLz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Jme6wbXAAAACAEAAA8AAAAAAAAAAQAgAAAAOAAAAGRy&#10;cy9kb3ducmV2LnhtbFBLAQIUABQAAAAIAIdO4kD2ImWXKQIAACoEAAAOAAAAAAAAAAEAIAAAADwB&#10;AABkcnMvZTJvRG9jLnhtbFBLBQYAAAAABgAGAFkBAADXBQAAAAA=&#10;">
                      <v:fill on="f" focussize="0,0"/>
                      <v:stroke weight="2pt" color="#000000" joinstyle="round"/>
                      <v:imagedata o:title=""/>
                      <o:lock v:ext="edit" aspectratio="f"/>
                      <v:shadow on="t" color="#000000" opacity="24903f" offset="0pt,1.5748031496063pt" origin="0f,32768f" matrix="65536f,0f,0f,65536f"/>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841536" behindDoc="0" locked="0" layoutInCell="1" allowOverlap="1">
                      <wp:simplePos x="0" y="0"/>
                      <wp:positionH relativeFrom="column">
                        <wp:posOffset>106045</wp:posOffset>
                      </wp:positionH>
                      <wp:positionV relativeFrom="paragraph">
                        <wp:posOffset>66040</wp:posOffset>
                      </wp:positionV>
                      <wp:extent cx="4445" cy="185420"/>
                      <wp:effectExtent l="0" t="0" r="33655" b="24130"/>
                      <wp:wrapNone/>
                      <wp:docPr id="2955" name="直接箭头连接符 2955"/>
                      <wp:cNvGraphicFramePr/>
                      <a:graphic xmlns:a="http://schemas.openxmlformats.org/drawingml/2006/main">
                        <a:graphicData uri="http://schemas.microsoft.com/office/word/2010/wordprocessingShape">
                          <wps:wsp>
                            <wps:cNvCnPr>
                              <a:cxnSpLocks noChangeShapeType="true"/>
                            </wps:cNvCnPr>
                            <wps:spPr bwMode="auto">
                              <a:xfrm flipH="true" flipV="true">
                                <a:off x="0" y="0"/>
                                <a:ext cx="4445" cy="18542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x y;margin-left:8.35pt;margin-top:5.2pt;height:14.6pt;width:0.35pt;z-index:251841536;mso-width-relative:page;mso-height-relative:page;" filled="f" stroked="t" coordsize="21600,21600" o:gfxdata="UEsFBgAAAAAAAAAAAAAAAAAAAAAAAFBLAwQKAAAAAACHTuJAAAAAAAAAAAAAAAAABAAAAGRycy9Q&#10;SwMEFAAAAAgAh07iQKwZZgnSAAAABwEAAA8AAABkcnMvZG93bnJldi54bWxNjjFPwzAUhHck/oP1&#10;KrFRu7SkJY3TAYkFdaFFzG78sKPGz1HspOXf8zrBdDrd6e6rdtfQiQmH1EbSsJgrEEhNtC05DZ/H&#10;t8cNiJQNWdNFQg0/mGBX399VprTxQh84HbITPEKpNBp8zn0pZWo8BpPmsUfi7DsOwWS2g5N2MBce&#10;D518UqqQwbTED970+OqxOR/GoOF4Xu5b1+2/sssr5cf3NOHzRuuH2UJtQWS85r8y3PAZHWpmOsWR&#10;bBId+2LNTVa1AnHL16wnDcuXAmRdyf/89S9QSwMEFAAAAAgAh07iQBPRr+r/AQAAvgMAAA4AAABk&#10;cnMvZTJvRG9jLnhtbK1TwW4TMRC9I/EPlu9kN1GC2lU2PSQqHApEauHueL27Fl6P5XGyyU/wA0ic&#10;gFPh1DtfA+UzGDtpWuCG2IPl8cy8efNmdnq27QzbKI8abMmHg5wzZSVU2jYlf311/uSEMwzCVsKA&#10;VSXfKeRns8ePpr0r1AhaMJXyjEAsFr0reRuCK7IMZas6gQNwypKzBt+JQKZvssqLntA7k43y/GnW&#10;g6+cB6kQ6XWxd/JZwq9rJcOrukYVmCk5cQvp9OlcxTObTUXReOFaLQ80xD+w6IS2VPQItRBBsLXX&#10;f0F1WnpAqMNAQpdBXWupUg/UzTD/o5vLVjiVeiFx0B1lwv8HK19ulp7pquSj08mEMys6mtLt+5sf&#10;7z7dfv3y/ePNz28f4v36M0sRJFjvsKC8uV362LLc2kt3AfItMgvzVthGJeJXO0dQwa9VVDn7LSsa&#10;6Kjyqn8BFYWJdYAk4Lb2HauNds8Pucl4czBiPRKNbdMEd8cJqm1gkh7H4zE1IckxPJmMR2m+mSgi&#10;aEx1HsMzBR2Ll5Jj8EI3bZiDtbQp4IeJgthcYIiU7xNisoVzbUxaGGNZTyVO80meMhCMrqI3xqFv&#10;VnPj2UbEnUtfEoA8D8MihYXAdh+HO1xA2K+jh7Wt9vWNjYgqLfKB1J10+zmsoNot/Z2+tCSJ9mGh&#10;4xY+tNMU7n+72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sGWYJ0gAAAAcBAAAPAAAAAAAAAAEA&#10;IAAAADgAAABkcnMvZG93bnJldi54bWxQSwECFAAUAAAACACHTuJAE9Gv6v8BAAC+AwAADgAAAAAA&#10;AAABACAAAAA3AQAAZHJzL2Uyb0RvYy54bWxQSwUGAAAAAAYABgBZAQAAqAUAAAAA&#10;">
                      <v:fill on="f" focussize="0,0"/>
                      <v:stroke weight="1.5pt" color="#000000" joinstyle="round" dashstyle="1 1"/>
                      <v:imagedata o:title=""/>
                      <o:lock v:ext="edit" aspectratio="f"/>
                    </v:shape>
                  </w:pict>
                </mc:Fallback>
              </mc:AlternateContent>
            </w: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4608" behindDoc="0" locked="0" layoutInCell="1" allowOverlap="1">
                      <wp:simplePos x="0" y="0"/>
                      <wp:positionH relativeFrom="column">
                        <wp:posOffset>254635</wp:posOffset>
                      </wp:positionH>
                      <wp:positionV relativeFrom="paragraph">
                        <wp:posOffset>147955</wp:posOffset>
                      </wp:positionV>
                      <wp:extent cx="0" cy="948690"/>
                      <wp:effectExtent l="0" t="0" r="19050" b="22860"/>
                      <wp:wrapNone/>
                      <wp:docPr id="2956" name="直接箭头连接符 2956"/>
                      <wp:cNvGraphicFramePr/>
                      <a:graphic xmlns:a="http://schemas.openxmlformats.org/drawingml/2006/main">
                        <a:graphicData uri="http://schemas.microsoft.com/office/word/2010/wordprocessingShape">
                          <wps:wsp>
                            <wps:cNvCnPr>
                              <a:cxnSpLocks noChangeShapeType="true"/>
                            </wps:cNvCnPr>
                            <wps:spPr bwMode="auto">
                              <a:xfrm flipV="true">
                                <a:off x="0" y="0"/>
                                <a:ext cx="0" cy="94869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20.05pt;margin-top:11.65pt;height:74.7pt;width:0pt;z-index:251844608;mso-width-relative:page;mso-height-relative:page;" filled="f" stroked="t" coordsize="21600,21600" o:gfxdata="UEsFBgAAAAAAAAAAAAAAAAAAAAAAAFBLAwQKAAAAAACHTuJAAAAAAAAAAAAAAAAABAAAAGRycy9Q&#10;SwMEFAAAAAgAh07iQBiOKVDXAAAACAEAAA8AAABkcnMvZG93bnJldi54bWxNj8tOwzAQRfdI/IM1&#10;SOyo7RRaFOJUVVFBoisKQsrOtU0SYY+j2H39PQMbWF7doztnqsUpeHZwY+ojKpATAcyhibbHVsH7&#10;2/rmHljKGq32EZ2Cs0uwqC8vKl3aeMRXd9jmltEIplIr6HIeSs6T6VzQaRIHh9R9xjHoTHFsuR31&#10;kcaD54UQMx50j3Sh04Nbdc58bfdBgd808m7ZvDzn8/LDPJrV+qmZSaWur6R4AJbdKf/B8KNP6lCT&#10;0y7u0SbmFdwKSaSCYjoFRv1v3hE3L+bA64r/f6D+BlBLAwQUAAAACACHTuJAEhD9pfYBAACuAwAA&#10;DgAAAGRycy9lMm9Eb2MueG1srVPBjtMwEL0j8Q+W7zRpxVbbqOkeWi2XBVbahbvrOImF47Fm3Kb9&#10;CX4AiRNwAk5752tg+Qxsp9td4IbIwbI9M2/ePL/Mz3adYVuFpMGWfDzKOVNWQqVtU/JX1+dPTjkj&#10;L2wlDFhV8r0ifrZ4/Gjeu0JNoAVTKWQBxFLRu5K33rsiy0i2qhM0AqdsCNaAnfDhiE1WoegDemey&#10;SZ5Psx6wcghSEYXb1RDki4Rf10r6l3VNyjNT8sDNpxXTuo5rtpiLokHhWi0PNMQ/sOiEtqHpEWol&#10;vGAb1H9BdVoiENR+JKHLoK61VGmGMM04/2Oaq1Y4lWYJ4pA7ykT/D1a+2F4i01XJJ7OTKWdWdOGV&#10;bt/d/Hj78fbrl+8fbn5+ex/3nz+xlBEE6x0VoW5pLzGOLHf2yl2AfEPMwrIVtlGJ+PXeBSiPGxVV&#10;zn6rigdyofO6fw5VSBMbD0nAXY0dq412rw+1sUXQie3So+2Pj6Z2nsnhUobb2dPT6Sy9ZyaKCBLr&#10;HJJ/pqBjcVNy8ih00/olWBucAThOLcX2gnykeF8Qiy2ca2OSQYxlfXD3LD/JUwWB0VWMxjzCZr00&#10;yLYieix9aeAQeZgWKawEtUMe7WkFfrAfwsZWQ39jI6JKxj2QupNq0H0N1f4S7/QMpki0DwaOrnt4&#10;Tqrf/2a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iOKVDXAAAACAEAAA8AAAAAAAAAAQAgAAAA&#10;OAAAAGRycy9kb3ducmV2LnhtbFBLAQIUABQAAAAIAIdO4kASEP2l9gEAAK4DAAAOAAAAAAAAAAEA&#10;IAAAADwBAABkcnMvZTJvRG9jLnhtbFBLBQYAAAAABgAGAFkBAACkBQ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16.8</w:t>
            </w: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45m中段运输巷道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0.8</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0512" behindDoc="0" locked="0" layoutInCell="1" allowOverlap="1">
                      <wp:simplePos x="0" y="0"/>
                      <wp:positionH relativeFrom="column">
                        <wp:posOffset>228600</wp:posOffset>
                      </wp:positionH>
                      <wp:positionV relativeFrom="paragraph">
                        <wp:posOffset>32385</wp:posOffset>
                      </wp:positionV>
                      <wp:extent cx="285750" cy="5080"/>
                      <wp:effectExtent l="38100" t="38100" r="57150" b="90170"/>
                      <wp:wrapNone/>
                      <wp:docPr id="2957" name="直接箭头连接符 2957"/>
                      <wp:cNvGraphicFramePr/>
                      <a:graphic xmlns:a="http://schemas.openxmlformats.org/drawingml/2006/main">
                        <a:graphicData uri="http://schemas.microsoft.com/office/word/2010/wordprocessingShape">
                          <wps:wsp>
                            <wps:cNvCnPr>
                              <a:cxnSpLocks noChangeShapeType="true"/>
                            </wps:cNvCnPr>
                            <wps:spPr bwMode="auto">
                              <a:xfrm>
                                <a:off x="0" y="0"/>
                                <a:ext cx="285750" cy="508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18pt;margin-top:2.55pt;height:0.4pt;width:22.5pt;z-index:251840512;mso-width-relative:page;mso-height-relative:page;" filled="f" stroked="t" coordsize="21600,21600" o:gfxdata="UEsFBgAAAAAAAAAAAAAAAAAAAAAAAFBLAwQKAAAAAACHTuJAAAAAAAAAAAAAAAAABAAAAGRycy9Q&#10;SwMEFAAAAAgAh07iQHY37VrVAAAABQEAAA8AAABkcnMvZG93bnJldi54bWxNjzFPwzAQhXck/oN1&#10;SGzUCZSqhDgdUCMmhCgwdHPjIwmxz1bspIVfzzHB+Omd3vuu3JycFTOOsfekIF9kIJAab3pqFby9&#10;1ldrEDFpMtp6QgVfGGFTnZ+VujD+SC8471IruIRioRV0KYVCyth06HRc+IDE2YcfnU6MYyvNqI9c&#10;7qy8zrKVdLonXuh0wIcOm2E3OQXDtp7m7ePyewifT+/1ctjvn21Q6vIiz+5BJDylv2P41Wd1qNjp&#10;4CcyUVgFNyt+JSm4zUFwvM4ZD4x3IKtS/revfgBQSwMEFAAAAAgAh07iQLp6qe4wAgAAMwQAAA4A&#10;AABkcnMvZTJvRG9jLnhtbK1TzY7TMBC+I/EOVu40aaF0GzXdQ1fLZYGKLuLsOk5i4Xissdu0L8EL&#10;IHECTsBp7zwNLI/B2NlWBcQFkYPl8fx9M9+X2fmu1Wwr0SkwRTIcZAmTRkCpTF0kL68vH5wlzHlu&#10;Sq7ByCLZS5ecz+/fm3U2lyNoQJcSGRUxLu9skTTe2zxNnWhky90ArDTkrABb7snEOi2Rd1S91eko&#10;yx6nHWBpEYR0jl4vemcyj/WrSgr/vKqc9EwXCWHz8cR4rsOZzmc8r5HbRok7GPwfULRcGWp6LHXB&#10;PWcbVH+UapVAcFD5gYA2hapSQsYZaJph9ts0q4ZbGWeh5Th7XJP7f2XFs+0SmSqLZDQdTxJmeEss&#10;3b69+f7mw+2Xz9/e3/z4+i7cP31kMYIW1lmXU97CLDGMLHZmZa9AvHbMwKLhppYR+PXeUimPGxm2&#10;nP6SFQxnqfO6ewolhfGNh7jAXYVtqEqrYbvI0/7Ik9x5JuhxdDaejIlNQa5xdhZZTHl+SLXo/BMJ&#10;LQuXInEeuaobvwBjSA+Aw9iIb6+cD8B4fkgIfQ1cKq2jLLRhHTUbP8qoF9c1CVx4jMkOtCpDYEhx&#10;WK8XGtmWB5HFL05MntMwhI0p+4bahDwZ9Uko4rwbL3HVlB1b6w2+4MQI9Q2dSxWmILH3Bok3IIoW&#10;gn+lfBPXHbb0NzThnWvb8B7jw8l0Oj1A7MHHPcABQ7RO4EXyAl89+Wso90s8kErKjPF3f1GQ/qlN&#10;99N/ff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djftWtUAAAAFAQAADwAAAAAAAAABACAAAAA4&#10;AAAAZHJzL2Rvd25yZXYueG1sUEsBAhQAFAAAAAgAh07iQLp6qe4wAgAAMwQAAA4AAAAAAAAAAQAg&#10;AAAAOgEAAGRycy9lMm9Eb2MueG1sUEsFBgAAAAAGAAYAWQEAANwFA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15.4</w: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75m中段运输巷道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8464" behindDoc="0" locked="0" layoutInCell="1" allowOverlap="1">
                      <wp:simplePos x="0" y="0"/>
                      <wp:positionH relativeFrom="column">
                        <wp:posOffset>519430</wp:posOffset>
                      </wp:positionH>
                      <wp:positionV relativeFrom="paragraph">
                        <wp:posOffset>57150</wp:posOffset>
                      </wp:positionV>
                      <wp:extent cx="1616075" cy="0"/>
                      <wp:effectExtent l="38100" t="38100" r="60325" b="95250"/>
                      <wp:wrapNone/>
                      <wp:docPr id="2958" name="直接箭头连接符 2958"/>
                      <wp:cNvGraphicFramePr/>
                      <a:graphic xmlns:a="http://schemas.openxmlformats.org/drawingml/2006/main">
                        <a:graphicData uri="http://schemas.microsoft.com/office/word/2010/wordprocessingShape">
                          <wps:wsp>
                            <wps:cNvCnPr>
                              <a:cxnSpLocks noChangeShapeType="true"/>
                            </wps:cNvCnPr>
                            <wps:spPr bwMode="auto">
                              <a:xfrm>
                                <a:off x="0" y="0"/>
                                <a:ext cx="1616075"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40.9pt;margin-top:4.5pt;height:0pt;width:127.25pt;z-index:251838464;mso-width-relative:page;mso-height-relative:page;" filled="f" stroked="t" coordsize="21600,21600" o:gfxdata="UEsFBgAAAAAAAAAAAAAAAAAAAAAAAFBLAwQKAAAAAACHTuJAAAAAAAAAAAAAAAAABAAAAGRycy9Q&#10;SwMEFAAAAAgAh07iQFcsKmbWAAAABgEAAA8AAABkcnMvZG93bnJldi54bWxNjzFPwzAUhHck/oP1&#10;kNioE1JVJcTpgBoxIUQLQzc3fiQh9nMUO2nh1/NggfF0p7vvis3ZWTHjGDpPCtJFAgKp9qajRsHr&#10;vrpZgwhRk9HWEyr4xACb8vKi0LnxJ3rBeRcbwSUUcq2gjXHIpQx1i06HhR+Q2Hv3o9OR5dhIM+oT&#10;lzsrb5NkJZ3uiBdaPeBDi3W/m5yCfltN8/Zx+dUPH09v1bI/HJ7toNT1VZrcg4h4jn9h+MFndCiZ&#10;6egnMkFYBeuUyaOCO37EdpatMhDHXy3LQv7HL78BUEsDBBQAAAAIAIdO4kCTvGdTLQIAADEEAAAO&#10;AAAAZHJzL2Uyb0RvYy54bWytU82O0zAQviPxDlbuNG2hXRo13UNXy2WBii7i7DpOYuF4rLHTtC/B&#10;CyBxAk7Aae88DSyPwdjdVAXEBZGD5fH8ffPNl/n5rtFsK9EpMHkyGgwTJo2AQpkqT15eXz54nDDn&#10;uSm4BiPzZC9dcr64f2/e2UyOoQZdSGRUxLiss3lSe2+zNHWilg13A7DSkLMEbLgnE6u0QN5R9Uan&#10;4+FwmnaAhUUQ0jl6vTg4k0WsX5ZS+Odl6aRnOk8Im48nxnMTznQx51mF3NZK3MHg/4Ci4cpQ02Op&#10;C+45a1H9UapRAsFB6QcCmhTKUgkZZ6BpRsPfplnX3Mo4C5Hj7JEm9//KimfbFTJV5Ml4NqFdGd7Q&#10;lm7f3nx/8+H2y+dv729+fH0X7p8+shhBhHXWZZS3NCsMI4udWdsrEK8dM7CsualkBH69t1TKYysD&#10;y+kvWcFwljpvuqdQUBhvPUQCdyU2oSpRw3ZxT/vjnuTOM0GPo+loOjybJEz0vpRnfaJF559IaFi4&#10;5InzyFVV+yUYQ2oAHMU2fHvlfIDFsz4hdDVwqbSOotCGdcTK5NGQdMN1RfIWHmOyA62KEBhSHFab&#10;pUa25UFi8Yvzkuc0DKE1xaGhNiFPRnUSijht6yWu66JjG93iC077oL6hc6HCFCT1g0HSDYiiheBf&#10;KV9HsgNHf0MT3rm2NT9gfHg2m816iAfwkQfoMUTrBF5cXdjWYfUbKPYr7FdKuozxd/9QEP6pTffT&#10;P3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FcsKmbWAAAABgEAAA8AAAAAAAAAAQAgAAAAOAAA&#10;AGRycy9kb3ducmV2LnhtbFBLAQIUABQAAAAIAIdO4kCTvGdTLQIAADEEAAAOAAAAAAAAAAEAIAAA&#10;ADsBAABkcnMvZTJvRG9jLnhtbFBLBQYAAAAABgAGAFkBAADaBQAAAAA=&#10;">
                      <v:fill on="f" focussize="0,0"/>
                      <v:stroke weight="2pt" color="#000000" joinstyle="round"/>
                      <v:imagedata o:title=""/>
                      <o:lock v:ext="edit" aspectratio="f"/>
                      <v:shadow on="t" color="#000000" opacity="24903f" offset="0pt,1.5748031496063pt" origin="0f,32768f" matrix="65536f,0f,0f,65536f"/>
                    </v:shape>
                  </w:pict>
                </mc:Fallback>
              </mc:AlternateContent>
            </w:r>
            <w:r>
              <w:rPr>
                <w:rFonts w:hint="eastAsia" w:asciiTheme="minorEastAsia" w:hAnsiTheme="minorEastAsia" w:eastAsiaTheme="minorEastAsia"/>
                <w:sz w:val="24"/>
              </w:rPr>
              <w:t>5.6</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2560" behindDoc="0" locked="0" layoutInCell="1" allowOverlap="1">
                      <wp:simplePos x="0" y="0"/>
                      <wp:positionH relativeFrom="column">
                        <wp:posOffset>315595</wp:posOffset>
                      </wp:positionH>
                      <wp:positionV relativeFrom="paragraph">
                        <wp:posOffset>121920</wp:posOffset>
                      </wp:positionV>
                      <wp:extent cx="4445" cy="259715"/>
                      <wp:effectExtent l="0" t="0" r="33655" b="26035"/>
                      <wp:wrapNone/>
                      <wp:docPr id="18" name="直接箭头连接符 18"/>
                      <wp:cNvGraphicFramePr/>
                      <a:graphic xmlns:a="http://schemas.openxmlformats.org/drawingml/2006/main">
                        <a:graphicData uri="http://schemas.microsoft.com/office/word/2010/wordprocessingShape">
                          <wps:wsp>
                            <wps:cNvCnPr>
                              <a:cxnSpLocks noChangeShapeType="true"/>
                            </wps:cNvCnPr>
                            <wps:spPr bwMode="auto">
                              <a:xfrm flipV="true">
                                <a:off x="0" y="0"/>
                                <a:ext cx="4445" cy="25971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24.85pt;margin-top:9.6pt;height:20.45pt;width:0.35pt;z-index:251842560;mso-width-relative:page;mso-height-relative:page;" filled="f" stroked="t" coordsize="21600,21600" o:gfxdata="UEsFBgAAAAAAAAAAAAAAAAAAAAAAAFBLAwQKAAAAAACHTuJAAAAAAAAAAAAAAAAABAAAAGRycy9Q&#10;SwMEFAAAAAgAh07iQAQvlZ/WAAAABwEAAA8AAABkcnMvZG93bnJldi54bWxNjktLAzEUhfeC/yFc&#10;wZ1NUtrRjpMppVIFu7KKMLs0iTODyc0wSV//3utKl+fBOV+1PAfPjm5MfUQFciKAOTTR9tgq+Hjf&#10;3D0AS1mj1T6iU3BxCZb19VWlSxtP+OaOu9wyGsFUagVdzkPJeTKdCzpN4uCQsq84Bp1Jji23oz7R&#10;ePB8KkTBg+6RHjo9uHXnzPfuEBT4bSPnq+b1JV9Wn+bJrDfPTSGVur2R4hFYduf8V4ZffEKHmpj2&#10;8YA2Ma9gtrinJvmLKTDK52IGbK+gEBJ4XfH//PUPUEsDBBQAAAAIAIdO4kAKhIyQ+AEAAK0DAAAO&#10;AAAAZHJzL2Uyb0RvYy54bWytU81uEzEQviPxDpbvZDdRAnSVTQ+JyqVApJbeHa9318LrsTxONnkJ&#10;XgCJE3AqnHrnaUp5DMZOSCncEHuw7Jn5vvnmZ6en286wjfKowZZ8OMg5U1ZCpW1T8jeXZ0+ec4ZB&#10;2EoYsKrkO4X8dPb40bR3hRpBC6ZSnhGJxaJ3JW9DcEWWoWxVJ3AATlly1uA7Eejpm6zyoif2zmSj&#10;PH+a9eAr50EqRLIu9k4+S/x1rWR4XdeoAjMlJ20hnT6dq3hms6koGi9cq+VBhvgHFZ3QlpIeqRYi&#10;CLb2+i+qTksPCHUYSOgyqGstVaqBqhnmf1Rz0QqnUi3UHHTHNuH/o5WvNkvPdEWzo0lZ0dGM7t7f&#10;fH/36e7rl9uPNz++fYj368+M/NSs3mFBmLld+liu3NoLdw7yLTIL81bYRiXRlztHRMGvVQRlD1Dx&#10;gY6yrvqXUFGYWAdIzdvWvmO10e7qgI0pqEdsmwa2Ow5MbQOTZByPxxPOJDlGk5Nnw0lKJorIE6HO&#10;Y3ihoGPxUnIMXuimDXOwlhYD/DBlFZtzDFHlPSCCLZxpY9J+GMt6atBJPskTAsHoKnpjHPpmNTee&#10;bURcsfQdZDwIixIWAtt9HO5wASHGicLD2lb7/MZGg0p7exD1q1v71q+g2i19DI522okk+7C/cel+&#10;f6eo+79s9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EL5Wf1gAAAAcBAAAPAAAAAAAAAAEAIAAA&#10;ADgAAABkcnMvZG93bnJldi54bWxQSwECFAAUAAAACACHTuJACoSMkPgBAACtAwAADgAAAAAAAAAB&#10;ACAAAAA7AQAAZHJzL2Uyb0RvYy54bWxQSwUGAAAAAAYABgBZAQAApQU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15.9</w: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105m中段运输巷道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3584" behindDoc="0" locked="0" layoutInCell="1" allowOverlap="1">
                      <wp:simplePos x="0" y="0"/>
                      <wp:positionH relativeFrom="column">
                        <wp:posOffset>320040</wp:posOffset>
                      </wp:positionH>
                      <wp:positionV relativeFrom="paragraph">
                        <wp:posOffset>73660</wp:posOffset>
                      </wp:positionV>
                      <wp:extent cx="1529715" cy="0"/>
                      <wp:effectExtent l="38100" t="38100" r="51435" b="95250"/>
                      <wp:wrapNone/>
                      <wp:docPr id="2959" name="直接箭头连接符 2959"/>
                      <wp:cNvGraphicFramePr/>
                      <a:graphic xmlns:a="http://schemas.openxmlformats.org/drawingml/2006/main">
                        <a:graphicData uri="http://schemas.microsoft.com/office/word/2010/wordprocessingShape">
                          <wps:wsp>
                            <wps:cNvCnPr>
                              <a:cxnSpLocks noChangeShapeType="true"/>
                            </wps:cNvCnPr>
                            <wps:spPr bwMode="auto">
                              <a:xfrm>
                                <a:off x="0" y="0"/>
                                <a:ext cx="1529715"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5.2pt;margin-top:5.8pt;height:0pt;width:120.45pt;z-index:251843584;mso-width-relative:page;mso-height-relative:page;" filled="f" stroked="t" coordsize="21600,21600" o:gfxdata="UEsFBgAAAAAAAAAAAAAAAAAAAAAAAFBLAwQKAAAAAACHTuJAAAAAAAAAAAAAAAAABAAAAGRycy9Q&#10;SwMEFAAAAAgAh07iQPnswGvXAAAACAEAAA8AAABkcnMvZG93bnJldi54bWxNj8FOwzAQRO9I/IO1&#10;SNyonRIqCHF6QI04IUSBQ29ubJIQe23FTlr4ehb1AMedGc2+KddHZ9lsxth7lJAtBDCDjdc9thLe&#10;XuurW2AxKdTKejQSvkyEdXV+VqpC+wO+mHmbWkYlGAsloUspFJzHpjNOxYUPBsn78KNTic6x5XpU&#10;Byp3li+FWHGneqQPnQrmoTPNsJ2chGFTT/PmMf8ewufTe50Pu92zDVJeXmTiHlgyx/QXhl98QoeK&#10;mPZ+Qh2ZlXAjckqSnq2Akb+8y66B7U8Cr0r+f0D1A1BLAwQUAAAACACHTuJAouTFmC0CAAAxBAAA&#10;DgAAAGRycy9lMm9Eb2MueG1srVPNjtMwEL4j8Q6W7zRtoSyNmu6hq+WywIou4uw6TmLheKyx27Qv&#10;wQsgcWI5Aae98zSwPAZjZ1sVEBdEDpbH8/fNN19mp9vWsI1Cr8EWfDQYcqashFLbuuCvrs4fPOHM&#10;B2FLYcCqgu+U56fz+/dmncvVGBowpUJGRazPO1fwJgSXZ5mXjWqFH4BTlpwVYCsCmVhnJYqOqrcm&#10;Gw+Hj7MOsHQIUnlPr2e9k89T/apSMryoKq8CMwUnbCGdmM5VPLP5TOQ1CtdoeQdD/AOKVmhLTQ+l&#10;zkQQbI36j1KtlggeqjCQ0GZQVVqqNANNMxr+Ns2yEU6lWYgc7w40+f9XVj7fXCLTZcHH08mUMyta&#10;2tLtu5vvb69vv3z+9uHmx9f38f7pI0sRRFjnfE55C3uJcWS5tUt3AfKNZxYWjbC1SsCvdo5KBVyr&#10;yHL2S1Y0vKPOq+4ZlBQm1gESgdsK21iVqGHbtKfdYU9qG5ikx9FkPD0ZTTiTe18m8n2iQx+eKmhZ&#10;vBTcBxS6bsICrCU1AI5SG7G58CHCEvk+IXa1cK6NSaIwlnXEyuTRkHQjTE3ylgFTsgejyxgYUzzW&#10;q4VBthFRYulL85LnOAxhbcu+obExTyV1Eoo07TooXDZlx1ZmjS8F7YP6xs6ljlOQ1HuDpBsRJQsh&#10;vNahSWRHjv6GJr4L4xrRY3x4Mp1O9xB78IkH2GNI1hG8tLq4rX71Kyh3l7hfKekyxd/9Q1H4xzbd&#10;j//0+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57MBr1wAAAAgBAAAPAAAAAAAAAAEAIAAAADgA&#10;AABkcnMvZG93bnJldi54bWxQSwECFAAUAAAACACHTuJAouTFmC0CAAAxBAAADgAAAAAAAAABACAA&#10;AAA8AQAAZHJzL2Uyb0RvYy54bWxQSwUGAAAAAAYABgBZAQAA2w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19.7</w:t>
            </w: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5632" behindDoc="0" locked="0" layoutInCell="1" allowOverlap="1">
                      <wp:simplePos x="0" y="0"/>
                      <wp:positionH relativeFrom="column">
                        <wp:posOffset>259080</wp:posOffset>
                      </wp:positionH>
                      <wp:positionV relativeFrom="paragraph">
                        <wp:posOffset>46355</wp:posOffset>
                      </wp:positionV>
                      <wp:extent cx="389890" cy="0"/>
                      <wp:effectExtent l="38100" t="38100" r="67310" b="95250"/>
                      <wp:wrapNone/>
                      <wp:docPr id="2960" name="直接箭头连接符 2960"/>
                      <wp:cNvGraphicFramePr/>
                      <a:graphic xmlns:a="http://schemas.openxmlformats.org/drawingml/2006/main">
                        <a:graphicData uri="http://schemas.microsoft.com/office/word/2010/wordprocessingShape">
                          <wps:wsp>
                            <wps:cNvCnPr>
                              <a:cxnSpLocks noChangeShapeType="true"/>
                            </wps:cNvCnPr>
                            <wps:spPr bwMode="auto">
                              <a:xfrm>
                                <a:off x="0" y="0"/>
                                <a:ext cx="389890"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0.4pt;margin-top:3.65pt;height:0pt;width:30.7pt;z-index:251845632;mso-width-relative:page;mso-height-relative:page;" filled="f" stroked="t" coordsize="21600,21600" o:gfxdata="UEsFBgAAAAAAAAAAAAAAAAAAAAAAAFBLAwQKAAAAAACHTuJAAAAAAAAAAAAAAAAABAAAAGRycy9Q&#10;SwMEFAAAAAgAh07iQM0zOcnUAAAABgEAAA8AAABkcnMvZG93bnJldi54bWxNzjFPwzAQBeAdif9g&#10;HRIbtRsiQCFOB9SICSEKDN3c+Jqksc9W7KSFX4/LAuPTO737ytXJGjbjGHpHEpYLAQypcbqnVsLH&#10;e33zACxERVoZRyjhCwOsqsuLUhXaHekN501sWRqhUCgJXYy+4Dw0HVoVFs4jpW7vRqtiimPL9aiO&#10;adwanglxx63qKX3olMenDpthM1kJw7qe5vVz/j34w8tnnQ/b7avxUl5fLcUjsIin+HcMZ36iQ5VM&#10;OzeRDsxIyEWSRwn3t8DOtcgyYLvfzKuS/+dXP1BLAwQUAAAACACHTuJAP68R1isCAAAwBAAADgAA&#10;AGRycy9lMm9Eb2MueG1srVPNjtMwEL4j8Q5W7jRtF5ZN1HQPXS2XBSq6iLPrOImF47HGbtO+BC+A&#10;xAk4Aae98zSwPAZjZ1MVEBdEDpbH8/fNN19m57tWs61Ep8AUyWQ0Tpg0Akpl6iJ5eX354CxhznNT&#10;cg1GFsleuuR8fv/erLO5nEIDupTIqIhxeWeLpPHe5mnqRCNb7kZgpSFnBdhyTybWaYm8o+qtTqfj&#10;8WnaAZYWQUjn6PWidybzWL+qpPDPq8pJz3SREDYfT4znOpzpfMbzGrltlLiDwf8BRcuVoaaHUhfc&#10;c7ZB9UepVgkEB5UfCWhTqColZJyBppmMf5tm1XAr4yxEjrMHmtz/KyuebZfIVFkk0+yUCDK8pS3d&#10;vr35/ubD7ZfP397f/Pj6Ltw/fWQxggjrrMspb2GWGEYWO7OyVyBeO2Zg0XBTywj8em+plMeNDCyn&#10;v2QFw1nqvO6eQklhfOMhErirsA1ViRq2i3vaH/Ykd54Jejw5y84yAisGV8rzIc+i808ktCxcisR5&#10;5Kpu/AKMITEATmIXvr1yPqDi+ZAQmhq4VFpHTWjDOiLl0cMxNeK6JnULjzHZgVZlCAwpDuv1QiPb&#10;8qCw+MVxyXMchrAxZd9Qm5AnozgJRRx24yWumrJja73BF5zWQX1D51KFKUjpvUHKDYiiheBfKd9E&#10;rgNFf0MT3rm2De8xnjzOsmyA2IOPPMCAIVpH8OLmwrL6za+h3C9x2CjJMsbf/UJB98c23Y9/9P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zTM5ydQAAAAGAQAADwAAAAAAAAABACAAAAA4AAAAZHJz&#10;L2Rvd25yZXYueG1sUEsBAhQAFAAAAAgAh07iQD+vEdYrAgAAMAQAAA4AAAAAAAAAAQAgAAAAOQEA&#10;AGRycy9lMm9Eb2MueG1sUEsFBgAAAAAGAAYAWQEAANYFA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6656" behindDoc="0" locked="0" layoutInCell="1" allowOverlap="1">
                      <wp:simplePos x="0" y="0"/>
                      <wp:positionH relativeFrom="column">
                        <wp:posOffset>236220</wp:posOffset>
                      </wp:positionH>
                      <wp:positionV relativeFrom="paragraph">
                        <wp:posOffset>102235</wp:posOffset>
                      </wp:positionV>
                      <wp:extent cx="4445" cy="259715"/>
                      <wp:effectExtent l="0" t="0" r="33655" b="26035"/>
                      <wp:wrapNone/>
                      <wp:docPr id="2961" name="直接箭头连接符 2961"/>
                      <wp:cNvGraphicFramePr/>
                      <a:graphic xmlns:a="http://schemas.openxmlformats.org/drawingml/2006/main">
                        <a:graphicData uri="http://schemas.microsoft.com/office/word/2010/wordprocessingShape">
                          <wps:wsp>
                            <wps:cNvCnPr>
                              <a:cxnSpLocks noChangeShapeType="true"/>
                            </wps:cNvCnPr>
                            <wps:spPr bwMode="auto">
                              <a:xfrm flipV="true">
                                <a:off x="0" y="0"/>
                                <a:ext cx="4445" cy="25971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8.6pt;margin-top:8.05pt;height:20.45pt;width:0.35pt;z-index:251846656;mso-width-relative:page;mso-height-relative:page;" filled="f" stroked="t" coordsize="21600,21600" o:gfxdata="UEsFBgAAAAAAAAAAAAAAAAAAAAAAAFBLAwQKAAAAAACHTuJAAAAAAAAAAAAAAAAABAAAAGRycy9Q&#10;SwMEFAAAAAgAh07iQBsIJAfXAAAABwEAAA8AAABkcnMvZG93bnJldi54bWxNjstOwzAQRfdI/IM1&#10;SOyo7VZNIMSpqqKCRFeUqlJ2rjMkEfY4it3X32NWsLwP3XvKxcVZdsIx9J4UyIkAhmR801OrYPe5&#10;fngEFqKmRltPqOCKARbV7U2pi8af6QNP29iyNEKh0Aq6GIeC82A6dDpM/ICUsi8/Oh2THFvejPqc&#10;xp3lUyEy7nRP6aHTA646NN/bo1NgN7WcL+v3t3hd7s2LWa1f60wqdX8nxTOwiJf4V4Zf/IQOVWI6&#10;+CM1gVkFs3yamsnPJLCUz/InYAcF81wAr0r+n7/6AVBLAwQUAAAACACHTuJAIqF5PfoBAACxAwAA&#10;DgAAAGRycy9lMm9Eb2MueG1srVPBbhMxEL0j8Q+W72Q3UVLIKpseEpVLgUot3B2vd9fC67FmnGzy&#10;E/wAEifgVDj1ztdA+QxsJ00p3BB7sGzPzJs3z29np9vOsI1C0mBLPhzknCkrodK2Kfnrq7Mnzzgj&#10;L2wlDFhV8p0ifjp//GjWu0KNoAVTKWQBxFLRu5K33rsiy0i2qhM0AKdsCNaAnfDhiE1WoegDemey&#10;UZ6fZD1g5RCkIgq3y32QzxN+XSvpX9U1Kc9MyQM3n1ZM6yqu2XwmigaFa7U80BD/wKIT2oamR6il&#10;8IKtUf8F1WmJQFD7gYQug7rWUqUZwjTD/I9pLlvhVJoliEPuKBP9P1j5cnOBTFclH01PhpxZ0YVX&#10;un1/8+Pdp9uvX75/vPn57UPcX39mKSMI1jsqQt3CXmAcWW7tpTsH+ZaYhUUrbKMS8audC1Ae1yqq&#10;nD2oigdyofOqfwFVSBNrD0nAbY0dq412bw61sUXQiW3To+2Oj6a2nslwOR6PJ5zJEBhNpk+Hk9RM&#10;FBEnljok/1xBx+Km5ORR6Kb1C7A2mANwmLqKzTn5yPK+IBZbONPGJI8Yy/pg8Gk+yVMFgdFVjMY8&#10;wma1MMg2ItosfQcaD9IihaWgdp9HO1qC3zsQYW2rfX9jI6JK3j2QulNrL/0Kqt0F3kkafJFoHzwc&#10;jff7OQl//6fN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bCCQH1wAAAAcBAAAPAAAAAAAAAAEA&#10;IAAAADgAAABkcnMvZG93bnJldi54bWxQSwECFAAUAAAACACHTuJAIqF5PfoBAACxAwAADgAAAAAA&#10;AAABACAAAAA8AQAAZHJzL2Uyb0RvYy54bWxQSwUGAAAAAAYABgBZAQAAqAU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17.8</w:t>
            </w: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001" w:type="dxa"/>
            <w:shd w:val="clear" w:color="auto" w:fill="auto"/>
            <w:vAlign w:val="center"/>
          </w:tcPr>
          <w:p>
            <w:pPr>
              <w:spacing w:line="240" w:lineRule="exact"/>
              <w:jc w:val="center"/>
              <w:rPr>
                <w:rFonts w:asciiTheme="minorEastAsia" w:hAnsiTheme="minorEastAsia" w:eastAsiaTheme="minorEastAsia"/>
                <w:sz w:val="24"/>
              </w:rPr>
            </w:pP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&lt;1200&gt;</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7680" behindDoc="0" locked="0" layoutInCell="1" allowOverlap="1">
                      <wp:simplePos x="0" y="0"/>
                      <wp:positionH relativeFrom="column">
                        <wp:posOffset>237490</wp:posOffset>
                      </wp:positionH>
                      <wp:positionV relativeFrom="paragraph">
                        <wp:posOffset>78740</wp:posOffset>
                      </wp:positionV>
                      <wp:extent cx="575945" cy="0"/>
                      <wp:effectExtent l="38100" t="38100" r="52705" b="95250"/>
                      <wp:wrapNone/>
                      <wp:docPr id="2962" name="直接箭头连接符 2962"/>
                      <wp:cNvGraphicFramePr/>
                      <a:graphic xmlns:a="http://schemas.openxmlformats.org/drawingml/2006/main">
                        <a:graphicData uri="http://schemas.microsoft.com/office/word/2010/wordprocessingShape">
                          <wps:wsp>
                            <wps:cNvCnPr>
                              <a:cxnSpLocks noChangeShapeType="true"/>
                            </wps:cNvCnPr>
                            <wps:spPr bwMode="auto">
                              <a:xfrm>
                                <a:off x="0" y="0"/>
                                <a:ext cx="575945"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18.7pt;margin-top:6.2pt;height:0pt;width:45.35pt;z-index:251847680;mso-width-relative:page;mso-height-relative:page;" filled="f" stroked="t" coordsize="21600,21600" o:gfxdata="UEsFBgAAAAAAAAAAAAAAAAAAAAAAAFBLAwQKAAAAAACHTuJAAAAAAAAAAAAAAAAABAAAAGRycy9Q&#10;SwMEFAAAAAgAh07iQCUVn4LXAAAACAEAAA8AAABkcnMvZG93bnJldi54bWxNjzFPwzAQhXck/oN1&#10;SGzUSYigCnE6oEZMCNHC0M2Nr0ka+2zFTlr49bhigOl07z29+65cnY1mM46+tyQgXSTAkBqremoF&#10;fGzruyUwHyQpqS2hgC/0sKqur0pZKHuid5w3oWWxhHwhBXQhuIJz33RopF9YhxS9gx2NDHEdW65G&#10;eYrlRvMsSR64kT3FC510+NxhM2wmI2BY19O8fsm/B3d8/azzYbd7006I25s0eQIW8Bz+wnDBj+hQ&#10;Raa9nUh5pgXcP+YxGfUszoufLVNg+1+BVyX//0D1A1BLAwQUAAAACACHTuJA9caLAy0CAAAwBAAA&#10;DgAAAGRycy9lMm9Eb2MueG1srVPNbhMxEL4j8Q6W72ST0LRklU0PqcqlQESKODte766F12ONnWzy&#10;ErwAEifKCTj1ztNAeQzGThMFEBfEHiyP5++bb76dnG9aw9YKvQZb8EGvz5myEkpt64K/ur589IQz&#10;H4QthQGrCr5Vnp9PHz6YdC5XQ2jAlAoZFbE+71zBmxBcnmVeNqoVvgdOWXJWgK0IZGKdlSg6qt6a&#10;bNjvn2YdYOkQpPKeXi92Tj5N9atKyfCiqrwKzBScsIV0YjqX8cymE5HXKFyj5T0M8Q8oWqEtNT2U&#10;uhBBsBXqP0q1WiJ4qEJPQptBVWmp0gw0zaD/2zSLRjiVZiFyvDvQ5P9fWfl8PUemy4IPx6dDzqxo&#10;aUt3726/v725+/L524fbH1/fx/unjyxFEGGd8znlzewc48hyYxfuCuQbzyzMGmFrlYBfbx2VCrhS&#10;keXsl6xoeEedl90zKClMrAIkAjcVtrEqUcM2aU/bw57UJjBJj6Oz0fhkxJncuzKR7/Mc+vBUQcvi&#10;peA+oNB1E2ZgLYkBcJC6iPWVDxGVyPcJsamFS21M0oSxrCNSRid9ko0wNalbBkzJHowuY2BM8Vgv&#10;ZwbZWkSFpS+NS57jMISVLXcNjY15KomTUKRhV0Hhoik7tjQrfCloHdQ3di51nIKUvjNIuRFRshDC&#10;ax2axHWk6G9o4rswrhE7jI/PxuPxHuIOfOIB9hiSdQQvbS4ua7f5JZTbOe43SrJM8fe/UNT9sU33&#10;4x99+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lFZ+C1wAAAAgBAAAPAAAAAAAAAAEAIAAAADgA&#10;AABkcnMvZG93bnJldi54bWxQSwECFAAUAAAACACHTuJA9caLAy0CAAAwBAAADgAAAAAAAAABACAA&#10;AAA8AQAAZHJzL2Uyb0RvYy54bWxQSwUGAAAAAAYABgBZAQAA2w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19.1</w:t>
            </w: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    计</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c>
          <w:tcPr>
            <w:tcW w:w="936" w:type="dxa"/>
            <w:shd w:val="clear" w:color="auto" w:fill="auto"/>
            <w:vAlign w:val="center"/>
          </w:tcPr>
          <w:p>
            <w:pPr>
              <w:spacing w:line="240" w:lineRule="exact"/>
              <w:jc w:val="center"/>
              <w:rPr>
                <w:rFonts w:asciiTheme="minorEastAsia" w:hAnsiTheme="minorEastAsia" w:eastAsiaTheme="minorEastAsia"/>
                <w:sz w:val="24"/>
              </w:rPr>
            </w:pPr>
          </w:p>
        </w:tc>
        <w:tc>
          <w:tcPr>
            <w:tcW w:w="911"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05" w:type="dxa"/>
            <w:vAlign w:val="center"/>
          </w:tcPr>
          <w:p>
            <w:pPr>
              <w:spacing w:line="240" w:lineRule="exact"/>
              <w:jc w:val="center"/>
              <w:rPr>
                <w:rFonts w:asciiTheme="minorEastAsia" w:hAnsiTheme="minorEastAsia" w:eastAsiaTheme="minorEastAsia"/>
                <w:sz w:val="24"/>
              </w:rPr>
            </w:pPr>
          </w:p>
        </w:tc>
      </w:tr>
    </w:tbl>
    <w:p>
      <w:pPr>
        <w:snapToGrid w:val="0"/>
        <w:spacing w:line="360" w:lineRule="auto"/>
        <w:jc w:val="center"/>
        <w:rPr>
          <w:rFonts w:ascii="仿宋" w:hAnsi="仿宋" w:eastAsia="仿宋"/>
          <w:b/>
          <w:sz w:val="24"/>
        </w:rPr>
      </w:pPr>
    </w:p>
    <w:p>
      <w:pPr>
        <w:snapToGrid w:val="0"/>
        <w:spacing w:line="360" w:lineRule="auto"/>
        <w:jc w:val="center"/>
        <w:rPr>
          <w:rFonts w:ascii="仿宋" w:hAnsi="仿宋" w:eastAsia="仿宋"/>
          <w:b/>
          <w:sz w:val="24"/>
        </w:rPr>
      </w:pPr>
    </w:p>
    <w:p>
      <w:pPr>
        <w:pStyle w:val="98"/>
        <w:ind w:firstLine="0" w:firstLineChars="0"/>
        <w:jc w:val="center"/>
        <w:rPr>
          <w:rFonts w:hAnsi="宋体"/>
          <w:b/>
        </w:rPr>
        <w:sectPr>
          <w:headerReference r:id="rId14" w:type="default"/>
          <w:pgSz w:w="16838" w:h="11906" w:orient="landscape"/>
          <w:pgMar w:top="1800" w:right="1440" w:bottom="1800" w:left="1440" w:header="851" w:footer="782" w:gutter="0"/>
          <w:cols w:space="425" w:num="1"/>
          <w:docGrid w:type="lines" w:linePitch="312" w:charSpace="0"/>
        </w:sectPr>
      </w:pPr>
    </w:p>
    <w:p>
      <w:pPr>
        <w:pStyle w:val="6"/>
        <w:ind w:firstLine="562" w:firstLineChars="200"/>
        <w:rPr>
          <w:rFonts w:hint="default"/>
        </w:rPr>
      </w:pPr>
      <w:r>
        <w:t>14.开采回采率</w:t>
      </w:r>
    </w:p>
    <w:p>
      <w:pPr>
        <w:pStyle w:val="98"/>
        <w:ind w:firstLine="560"/>
      </w:pPr>
      <w:bookmarkStart w:id="237" w:name="_Toc167307751"/>
      <w:r>
        <w:rPr>
          <w:rFonts w:hint="eastAsia"/>
        </w:rPr>
        <w:t xml:space="preserve">(1) 设计利用储量 </w:t>
      </w:r>
    </w:p>
    <w:p>
      <w:pPr>
        <w:pStyle w:val="98"/>
        <w:ind w:firstLine="560"/>
      </w:pPr>
      <w:r>
        <w:rPr>
          <w:rFonts w:hint="eastAsia"/>
        </w:rPr>
        <w:t>调兵山市硅灰石井巷矿于2024年11月提交了《</w:t>
      </w:r>
      <w:bookmarkStart w:id="238" w:name="OLE_LINK389"/>
      <w:bookmarkStart w:id="239" w:name="OLE_LINK388"/>
      <w:r>
        <w:rPr>
          <w:rFonts w:hint="eastAsia"/>
        </w:rPr>
        <w:t>辽宁省调兵山市泉眼沟矿区硅灰石矿补充勘探报告</w:t>
      </w:r>
      <w:bookmarkEnd w:id="238"/>
      <w:bookmarkEnd w:id="239"/>
      <w:r>
        <w:rPr>
          <w:rFonts w:hint="eastAsia"/>
        </w:rPr>
        <w:t>》，该报告于2024年11月通过了评审会议，出具了《〈辽宁省调兵山市泉眼沟矿区硅灰石矿补充勘探报告〉审查意见书》。截止到2024年10月31日，采矿权范围内保有硅灰石矿石量(探明资源量+控制资源量+推断资源量)48.248万t，其中探明资源量8.239万t，控制资源量18.773万t，推断资源量2.1236万t；硅灰石精矿量(探明资源量+控制资源量+推断资源量)25.886万t，其中探明资源量4.037万t，控制资源量10.268万t，推断资源量11.581万t。</w:t>
      </w:r>
    </w:p>
    <w:p>
      <w:pPr>
        <w:pStyle w:val="98"/>
        <w:ind w:firstLine="560"/>
        <w:rPr>
          <w:color w:val="FF0000"/>
        </w:rPr>
      </w:pPr>
      <w:bookmarkStart w:id="240" w:name="OLE_LINK71"/>
      <w:bookmarkStart w:id="241" w:name="OLE_LINK70"/>
      <w:r>
        <w:rPr>
          <w:rFonts w:hint="eastAsia"/>
          <w:color w:val="FF0000"/>
        </w:rPr>
        <w:t>上次开发利用方案</w:t>
      </w:r>
      <w:bookmarkStart w:id="242" w:name="OLE_LINK69"/>
      <w:bookmarkStart w:id="243" w:name="OLE_LINK68"/>
      <w:r>
        <w:rPr>
          <w:rFonts w:hint="eastAsia"/>
          <w:color w:val="FF0000"/>
        </w:rPr>
        <w:t>矿山硅灰石矿石量为</w:t>
      </w:r>
      <w:bookmarkStart w:id="244" w:name="OLE_LINK67"/>
      <w:bookmarkStart w:id="245" w:name="OLE_LINK66"/>
      <w:r>
        <w:rPr>
          <w:rFonts w:hint="eastAsia"/>
          <w:color w:val="FF0000"/>
        </w:rPr>
        <w:t>57.11万t</w:t>
      </w:r>
      <w:bookmarkEnd w:id="242"/>
      <w:bookmarkEnd w:id="243"/>
      <w:bookmarkEnd w:id="244"/>
      <w:bookmarkEnd w:id="245"/>
      <w:r>
        <w:rPr>
          <w:rFonts w:hint="eastAsia"/>
          <w:color w:val="FF0000"/>
        </w:rPr>
        <w:t>，设计利用硅灰石矿石量为48.976万t(矿山硅灰石矿石量为</w:t>
      </w:r>
      <w:r>
        <w:rPr>
          <w:color w:val="FF0000"/>
        </w:rPr>
        <w:t>57.11</w:t>
      </w:r>
      <w:r>
        <w:rPr>
          <w:rFonts w:hint="eastAsia"/>
          <w:color w:val="FF0000"/>
        </w:rPr>
        <w:t>万</w:t>
      </w:r>
      <w:r>
        <w:rPr>
          <w:color w:val="FF0000"/>
        </w:rPr>
        <w:t>t</w:t>
      </w:r>
      <w:r>
        <w:rPr>
          <w:rFonts w:hint="eastAsia"/>
          <w:color w:val="FF0000"/>
        </w:rPr>
        <w:t>-露天开采标高165m以上矿体矿石量5.667万t-保护区保护矿柱矿石量2.457万t)，占矿石量总量(57.11万t)的85.8％，</w:t>
      </w:r>
      <w:bookmarkEnd w:id="240"/>
      <w:bookmarkEnd w:id="241"/>
      <w:bookmarkStart w:id="246" w:name="OLE_LINK72"/>
      <w:bookmarkStart w:id="247" w:name="OLE_LINK73"/>
      <w:r>
        <w:rPr>
          <w:rFonts w:hint="eastAsia"/>
          <w:color w:val="FF0000"/>
        </w:rPr>
        <w:t>矿山硅灰石精矿资源储量28.61万t</w:t>
      </w:r>
      <w:bookmarkEnd w:id="246"/>
      <w:bookmarkEnd w:id="247"/>
      <w:r>
        <w:rPr>
          <w:rFonts w:hint="eastAsia"/>
          <w:color w:val="FF0000"/>
        </w:rPr>
        <w:t>，设计利用硅灰石精矿量24.543万t，(矿山硅灰石精矿资源储量</w:t>
      </w:r>
      <w:r>
        <w:rPr>
          <w:color w:val="FF0000"/>
        </w:rPr>
        <w:t>28.61</w:t>
      </w:r>
      <w:r>
        <w:rPr>
          <w:rFonts w:hint="eastAsia"/>
          <w:color w:val="FF0000"/>
        </w:rPr>
        <w:t>万</w:t>
      </w:r>
      <w:r>
        <w:rPr>
          <w:color w:val="FF0000"/>
        </w:rPr>
        <w:t>t</w:t>
      </w:r>
      <w:r>
        <w:rPr>
          <w:rFonts w:hint="eastAsia"/>
          <w:color w:val="FF0000"/>
        </w:rPr>
        <w:t xml:space="preserve"> -露天开采标高165m以上矿体硅灰石精矿量2.839万t-保护区保护矿柱硅灰石精矿量1.228万t)，占矿石量总量(28.61万t)的85.8％。</w:t>
      </w:r>
    </w:p>
    <w:p>
      <w:pPr>
        <w:pStyle w:val="98"/>
        <w:ind w:firstLine="560"/>
        <w:rPr>
          <w:color w:val="FF0000"/>
        </w:rPr>
      </w:pPr>
      <w:r>
        <w:rPr>
          <w:rFonts w:hint="eastAsia"/>
          <w:color w:val="FF0000"/>
        </w:rPr>
        <w:t>上次开发利用方案资源利用率与本次比较不同在于</w:t>
      </w:r>
    </w:p>
    <w:p>
      <w:pPr>
        <w:pStyle w:val="98"/>
        <w:ind w:firstLine="560"/>
        <w:rPr>
          <w:color w:val="FF0000"/>
        </w:rPr>
      </w:pPr>
      <w:bookmarkStart w:id="248" w:name="OLE_LINK78"/>
      <w:bookmarkStart w:id="249" w:name="OLE_LINK77"/>
      <w:r>
        <w:rPr>
          <w:rFonts w:hint="eastAsia"/>
          <w:color w:val="FF0000"/>
        </w:rPr>
        <w:t>1)采矿方法的不同</w:t>
      </w:r>
    </w:p>
    <w:bookmarkEnd w:id="248"/>
    <w:bookmarkEnd w:id="249"/>
    <w:p>
      <w:pPr>
        <w:pStyle w:val="98"/>
        <w:ind w:firstLine="560"/>
        <w:rPr>
          <w:color w:val="FF0000"/>
        </w:rPr>
      </w:pPr>
      <w:r>
        <w:rPr>
          <w:rFonts w:hint="eastAsia"/>
          <w:color w:val="FF0000"/>
        </w:rPr>
        <w:t>本次采用废石充填采矿法，间顶柱不能回采利用，矿房间顶柱硅灰石矿石量暂不利用资源储量为</w:t>
      </w:r>
      <w:r>
        <w:rPr>
          <w:color w:val="FF0000"/>
        </w:rPr>
        <w:t>12.558</w:t>
      </w:r>
      <w:r>
        <w:rPr>
          <w:rFonts w:hint="eastAsia"/>
          <w:color w:val="FF0000"/>
        </w:rPr>
        <w:t>万</w:t>
      </w:r>
      <w:r>
        <w:rPr>
          <w:color w:val="FF0000"/>
        </w:rPr>
        <w:t>t</w:t>
      </w:r>
      <w:r>
        <w:rPr>
          <w:rFonts w:hint="eastAsia"/>
          <w:color w:val="FF0000"/>
        </w:rPr>
        <w:t>，硅灰石精矿量暂不利用资源储量为</w:t>
      </w:r>
      <w:r>
        <w:rPr>
          <w:color w:val="FF0000"/>
        </w:rPr>
        <w:t>6.829</w:t>
      </w:r>
      <w:r>
        <w:rPr>
          <w:rFonts w:hint="eastAsia"/>
          <w:color w:val="FF0000"/>
        </w:rPr>
        <w:t>万</w:t>
      </w:r>
      <w:r>
        <w:rPr>
          <w:color w:val="FF0000"/>
        </w:rPr>
        <w:t>t</w:t>
      </w:r>
      <w:r>
        <w:rPr>
          <w:rFonts w:hint="eastAsia"/>
          <w:color w:val="FF0000"/>
        </w:rPr>
        <w:t>。</w:t>
      </w:r>
    </w:p>
    <w:p>
      <w:pPr>
        <w:pStyle w:val="98"/>
        <w:ind w:firstLine="560"/>
        <w:rPr>
          <w:color w:val="FF0000"/>
        </w:rPr>
      </w:pPr>
      <w:bookmarkStart w:id="250" w:name="OLE_LINK79"/>
      <w:bookmarkStart w:id="251" w:name="OLE_LINK80"/>
      <w:r>
        <w:rPr>
          <w:rFonts w:hint="eastAsia"/>
          <w:color w:val="FF0000"/>
        </w:rPr>
        <w:t>2)边角损失量的不同</w:t>
      </w:r>
    </w:p>
    <w:bookmarkEnd w:id="250"/>
    <w:bookmarkEnd w:id="251"/>
    <w:p>
      <w:pPr>
        <w:pStyle w:val="98"/>
        <w:ind w:firstLine="560"/>
      </w:pPr>
      <w:r>
        <w:rPr>
          <w:rFonts w:hint="eastAsia"/>
        </w:rPr>
        <w:t>本次设计最低开采中段以下需留设5m水仓高度，受矿界限制，45m中段以下矿体不能进行开采，45m中段以下边角损失硅灰石矿石量暂不利用资源储量为3.11万t，硅灰石精矿量暂不利用资源储量为1.62万t。</w:t>
      </w:r>
    </w:p>
    <w:p>
      <w:pPr>
        <w:pStyle w:val="98"/>
        <w:ind w:firstLine="560"/>
        <w:rPr>
          <w:color w:val="FF0000"/>
        </w:rPr>
      </w:pPr>
      <w:r>
        <w:rPr>
          <w:rFonts w:hint="eastAsia"/>
          <w:color w:val="FF0000"/>
        </w:rPr>
        <w:t>2)保护区保安矿柱量的不同</w:t>
      </w:r>
    </w:p>
    <w:p>
      <w:pPr>
        <w:pStyle w:val="98"/>
        <w:ind w:firstLine="560"/>
      </w:pPr>
      <w:r>
        <w:rPr>
          <w:rFonts w:hint="eastAsia"/>
        </w:rPr>
        <w:t>矿区西南侧为南城子山遗址</w:t>
      </w:r>
      <w:bookmarkStart w:id="252" w:name="OLE_LINK396"/>
      <w:bookmarkStart w:id="253" w:name="OLE_LINK397"/>
      <w:r>
        <w:rPr>
          <w:rFonts w:hint="eastAsia"/>
        </w:rPr>
        <w:t>保护区</w:t>
      </w:r>
      <w:bookmarkEnd w:id="252"/>
      <w:bookmarkEnd w:id="253"/>
      <w:r>
        <w:rPr>
          <w:rFonts w:hint="eastAsia"/>
        </w:rPr>
        <w:t>，设计留设保安矿柱，保安矿柱以保护区外沿5m为基准，然后向下以第四系45°、基岩70°划定。设计保安矿柱硅灰石矿石量暂不利用资源储量为3.277万t</w:t>
      </w:r>
      <w:bookmarkStart w:id="254" w:name="OLE_LINK18"/>
      <w:bookmarkStart w:id="255" w:name="OLE_LINK29"/>
      <w:r>
        <w:rPr>
          <w:rFonts w:hint="eastAsia"/>
        </w:rPr>
        <w:t>(不可利用资源量)</w:t>
      </w:r>
      <w:bookmarkEnd w:id="254"/>
      <w:bookmarkEnd w:id="255"/>
      <w:r>
        <w:rPr>
          <w:rFonts w:hint="eastAsia"/>
        </w:rPr>
        <w:t>，硅灰石精矿量暂不利用资源储量为1.504万t(不可利用资源量)</w:t>
      </w:r>
      <w:bookmarkStart w:id="256" w:name="OLE_LINK75"/>
      <w:bookmarkStart w:id="257" w:name="OLE_LINK74"/>
      <w:r>
        <w:rPr>
          <w:rFonts w:hint="eastAsia"/>
        </w:rPr>
        <w:t>。</w:t>
      </w:r>
      <w:bookmarkEnd w:id="256"/>
      <w:bookmarkEnd w:id="257"/>
    </w:p>
    <w:p>
      <w:pPr>
        <w:pStyle w:val="98"/>
        <w:ind w:firstLine="560"/>
      </w:pPr>
      <w:r>
        <w:rPr>
          <w:rFonts w:hint="eastAsia"/>
        </w:rPr>
        <w:t>综上，设计硅灰石矿石量暂不利用资源储量为18.945万t</w:t>
      </w:r>
      <w:r>
        <w:rPr>
          <w:rFonts w:hint="eastAsia"/>
          <w:color w:val="FF0000"/>
        </w:rPr>
        <w:t>(</w:t>
      </w:r>
      <w:bookmarkStart w:id="258" w:name="OLE_LINK60"/>
      <w:bookmarkStart w:id="259" w:name="OLE_LINK61"/>
      <w:r>
        <w:rPr>
          <w:rFonts w:hint="eastAsia"/>
          <w:color w:val="FF0000"/>
        </w:rPr>
        <w:t>保护区保安矿柱资源量3.277万t+45m中段以下边角损失量3.11万t+矿房间顶住暂不利用资源量12.558万t=18.945万t</w:t>
      </w:r>
      <w:bookmarkEnd w:id="258"/>
      <w:bookmarkEnd w:id="259"/>
      <w:r>
        <w:rPr>
          <w:rFonts w:hint="eastAsia"/>
        </w:rPr>
        <w:t>)，硅灰石精矿量暂不利用资源储量为9.953万t。</w:t>
      </w:r>
    </w:p>
    <w:p>
      <w:pPr>
        <w:pStyle w:val="98"/>
        <w:ind w:firstLine="560"/>
      </w:pPr>
      <w:bookmarkStart w:id="260" w:name="OLE_LINK46"/>
      <w:bookmarkStart w:id="261" w:name="OLE_LINK47"/>
      <w:r>
        <w:rPr>
          <w:rFonts w:hint="eastAsia"/>
        </w:rPr>
        <w:t>本次设计利用硅灰石矿石量(探明+控制+推断)资源量</w:t>
      </w:r>
      <w:bookmarkEnd w:id="260"/>
      <w:bookmarkEnd w:id="261"/>
      <w:r>
        <w:rPr>
          <w:rFonts w:hint="eastAsia"/>
        </w:rPr>
        <w:t>为29.303万t,硅灰石精矿量(探明+控制+推断)资源量为15.933万t。本次设计利用资源率为65.4％(不含不可利用资源量)，</w:t>
      </w:r>
    </w:p>
    <w:p>
      <w:pPr>
        <w:pStyle w:val="98"/>
        <w:ind w:firstLine="560"/>
      </w:pPr>
      <w:r>
        <w:rPr>
          <w:rFonts w:hint="eastAsia"/>
        </w:rPr>
        <w:t>设计利用资源储量详见下表。</w:t>
      </w:r>
    </w:p>
    <w:p>
      <w:pPr>
        <w:pStyle w:val="98"/>
        <w:ind w:firstLine="0" w:firstLineChars="0"/>
        <w:jc w:val="center"/>
        <w:rPr>
          <w:rFonts w:hAnsi="宋体"/>
          <w:b/>
        </w:rPr>
      </w:pPr>
      <w:r>
        <w:rPr>
          <w:rFonts w:hint="eastAsia" w:hAnsi="宋体"/>
          <w:b/>
        </w:rPr>
        <w:t>表4-7 设计利用资源储量结果表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92"/>
        <w:gridCol w:w="990"/>
        <w:gridCol w:w="1877"/>
        <w:gridCol w:w="1018"/>
        <w:gridCol w:w="1370"/>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61"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类型</w:t>
            </w: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储量</w:t>
            </w:r>
          </w:p>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类型</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矿量(万t)</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南城子山保护区矿柱损失量(万t)</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边角损失量(万t)</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矿房间顶柱损失量(万t)</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设计利用资源量(万t)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restart"/>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矿石</w:t>
            </w: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TM</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8.239</w:t>
            </w:r>
          </w:p>
        </w:tc>
        <w:tc>
          <w:tcPr>
            <w:tcW w:w="1877" w:type="dxa"/>
            <w:vAlign w:val="center"/>
          </w:tcPr>
          <w:p>
            <w:pPr>
              <w:widowControl/>
              <w:spacing w:line="240" w:lineRule="exact"/>
              <w:jc w:val="center"/>
              <w:rPr>
                <w:rFonts w:cs="宋体" w:asciiTheme="minorEastAsia" w:hAnsiTheme="minorEastAsia" w:eastAsiaTheme="minorEastAsia"/>
                <w:kern w:val="0"/>
                <w:sz w:val="24"/>
              </w:rPr>
            </w:pP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2.472</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5.767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KZ</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18.773</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0.38</w:t>
            </w: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5.518</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12.875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TD</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21.236</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2.897</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3.11</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4.569</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10.660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合计</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48.248</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3.277</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3.11</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12.558</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29.303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restart"/>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精矿</w:t>
            </w: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TM</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4.037</w:t>
            </w:r>
          </w:p>
        </w:tc>
        <w:tc>
          <w:tcPr>
            <w:tcW w:w="1877" w:type="dxa"/>
            <w:vAlign w:val="center"/>
          </w:tcPr>
          <w:p>
            <w:pPr>
              <w:widowControl/>
              <w:spacing w:line="240" w:lineRule="exact"/>
              <w:jc w:val="center"/>
              <w:rPr>
                <w:rFonts w:cs="宋体" w:asciiTheme="minorEastAsia" w:hAnsiTheme="minorEastAsia" w:eastAsiaTheme="minorEastAsia"/>
                <w:kern w:val="0"/>
                <w:sz w:val="24"/>
              </w:rPr>
            </w:pP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1.211</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KZ</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10.268</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0.16</w:t>
            </w: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3.032</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7.076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TD</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11.581</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1.344</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1.62</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2.585</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6.032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合计</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25.886</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1.504</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1.62</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6.829</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15.933</w:t>
            </w:r>
          </w:p>
        </w:tc>
      </w:tr>
    </w:tbl>
    <w:p>
      <w:pPr>
        <w:pStyle w:val="98"/>
        <w:ind w:firstLine="560"/>
        <w:rPr>
          <w:rFonts w:hAnsi="宋体"/>
        </w:rPr>
      </w:pPr>
      <w:r>
        <w:rPr>
          <w:rFonts w:hint="eastAsia" w:hAnsi="宋体"/>
        </w:rPr>
        <w:t>(</w:t>
      </w:r>
      <w:r>
        <w:rPr>
          <w:rFonts w:hAnsi="宋体"/>
        </w:rPr>
        <w:t>2</w:t>
      </w:r>
      <w:r>
        <w:rPr>
          <w:rFonts w:hint="eastAsia" w:hAnsi="宋体"/>
        </w:rPr>
        <w:t xml:space="preserve">) </w:t>
      </w:r>
      <w:r>
        <w:rPr>
          <w:rFonts w:hAnsi="宋体"/>
        </w:rPr>
        <w:t>设计可采储量</w:t>
      </w:r>
    </w:p>
    <w:p>
      <w:pPr>
        <w:pStyle w:val="98"/>
        <w:ind w:firstLine="560"/>
        <w:rPr>
          <w:rFonts w:hAnsi="宋体"/>
        </w:rPr>
      </w:pPr>
      <w:r>
        <w:rPr>
          <w:rFonts w:hint="eastAsia" w:hAnsi="宋体"/>
        </w:rPr>
        <w:t>设计可采储量=设计利用资源量×</w:t>
      </w:r>
      <w:bookmarkStart w:id="262" w:name="OLE_LINK406"/>
      <w:bookmarkStart w:id="263" w:name="OLE_LINK404"/>
      <w:bookmarkStart w:id="264" w:name="OLE_LINK405"/>
      <w:r>
        <w:rPr>
          <w:rFonts w:hint="eastAsia" w:hAnsi="宋体"/>
        </w:rPr>
        <w:t>采矿</w:t>
      </w:r>
      <w:bookmarkStart w:id="265" w:name="OLE_LINK408"/>
      <w:bookmarkStart w:id="266" w:name="OLE_LINK407"/>
      <w:r>
        <w:rPr>
          <w:rFonts w:hint="eastAsia" w:hAnsi="宋体"/>
        </w:rPr>
        <w:t>回采率</w:t>
      </w:r>
      <w:bookmarkEnd w:id="262"/>
      <w:bookmarkEnd w:id="263"/>
      <w:bookmarkEnd w:id="264"/>
      <w:bookmarkEnd w:id="265"/>
      <w:bookmarkEnd w:id="266"/>
    </w:p>
    <w:p>
      <w:pPr>
        <w:pStyle w:val="98"/>
        <w:ind w:firstLine="560"/>
        <w:rPr>
          <w:rFonts w:hAnsi="宋体"/>
        </w:rPr>
      </w:pPr>
      <w:r>
        <w:rPr>
          <w:rFonts w:hint="eastAsia" w:hAnsi="宋体"/>
        </w:rPr>
        <w:t xml:space="preserve">            =15.933×85%</w:t>
      </w:r>
    </w:p>
    <w:p>
      <w:pPr>
        <w:pStyle w:val="98"/>
        <w:ind w:firstLine="560"/>
        <w:rPr>
          <w:rFonts w:hAnsi="宋体"/>
        </w:rPr>
      </w:pPr>
      <w:r>
        <w:rPr>
          <w:rFonts w:hint="eastAsia" w:hAnsi="宋体"/>
        </w:rPr>
        <w:t xml:space="preserve">            =13.54万t</w:t>
      </w:r>
    </w:p>
    <w:p>
      <w:pPr>
        <w:pStyle w:val="98"/>
        <w:ind w:firstLine="560"/>
        <w:rPr>
          <w:rFonts w:hAnsi="宋体"/>
        </w:rPr>
      </w:pPr>
      <w:r>
        <w:rPr>
          <w:rFonts w:hint="eastAsia" w:hAnsi="宋体"/>
        </w:rPr>
        <w:t>(3) 开采回采率</w:t>
      </w:r>
    </w:p>
    <w:p>
      <w:pPr>
        <w:pStyle w:val="98"/>
        <w:ind w:firstLine="560"/>
        <w:rPr>
          <w:rFonts w:hAnsi="宋体"/>
        </w:rPr>
      </w:pPr>
      <w:bookmarkStart w:id="267" w:name="OLE_LINK15"/>
      <w:bookmarkStart w:id="268" w:name="OLE_LINK14"/>
      <w:r>
        <w:rPr>
          <w:rFonts w:hint="eastAsia" w:hAnsi="宋体"/>
        </w:rPr>
        <w:t>根据《</w:t>
      </w:r>
      <w:bookmarkStart w:id="269" w:name="OLE_LINK2"/>
      <w:r>
        <w:rPr>
          <w:rFonts w:hint="eastAsia" w:hAnsi="宋体"/>
        </w:rPr>
        <w:t>矿产资源“三率”指标要求第6部分：</w:t>
      </w:r>
      <w:bookmarkEnd w:id="269"/>
      <w:r>
        <w:rPr>
          <w:rFonts w:hAnsi="宋体"/>
        </w:rPr>
        <w:t>石墨等26种非金属矿产</w:t>
      </w:r>
      <w:r>
        <w:rPr>
          <w:rFonts w:hint="eastAsia" w:hAnsi="宋体"/>
        </w:rPr>
        <w:t>》（</w:t>
      </w:r>
      <w:bookmarkStart w:id="270" w:name="OLE_LINK65"/>
      <w:bookmarkStart w:id="271" w:name="OLE_LINK64"/>
      <w:r>
        <w:rPr>
          <w:rFonts w:hint="eastAsia" w:hAnsi="宋体"/>
        </w:rPr>
        <w:t>DZ/T 0462.6-2023</w:t>
      </w:r>
      <w:bookmarkEnd w:id="270"/>
      <w:bookmarkEnd w:id="271"/>
      <w:r>
        <w:rPr>
          <w:rFonts w:hint="eastAsia" w:hAnsi="宋体"/>
        </w:rPr>
        <w:t>）内容要求回采率为85%</w:t>
      </w:r>
      <w:r>
        <w:rPr>
          <w:rFonts w:hAnsi="宋体"/>
        </w:rPr>
        <w:t>。</w:t>
      </w:r>
      <w:bookmarkEnd w:id="267"/>
      <w:bookmarkEnd w:id="268"/>
    </w:p>
    <w:p>
      <w:pPr>
        <w:pStyle w:val="98"/>
        <w:ind w:firstLine="560"/>
        <w:rPr>
          <w:rFonts w:hAnsi="宋体"/>
        </w:rPr>
      </w:pPr>
      <w:r>
        <w:rPr>
          <w:rFonts w:hint="eastAsia" w:hAnsi="宋体"/>
        </w:rPr>
        <w:t>本项目为硅灰石矿改建设项目，采矿为地下开采方式，本项目采矿回采率85%，符合相关要求。</w:t>
      </w:r>
      <w:r>
        <w:rPr>
          <w:rFonts w:asciiTheme="minorEastAsia" w:hAnsiTheme="minorEastAsia" w:eastAsiaTheme="minorEastAsia"/>
        </w:rPr>
        <w:t>矿山企业承诺在未来的生产过程中，实际回采率不低于</w:t>
      </w:r>
      <w:r>
        <w:rPr>
          <w:rFonts w:hint="eastAsia" w:asciiTheme="minorEastAsia" w:hAnsiTheme="minorEastAsia" w:eastAsiaTheme="minorEastAsia"/>
        </w:rPr>
        <w:t>85</w:t>
      </w:r>
      <w:r>
        <w:rPr>
          <w:rFonts w:asciiTheme="minorEastAsia" w:hAnsiTheme="minorEastAsia" w:eastAsiaTheme="minorEastAsia"/>
        </w:rPr>
        <w:t>%</w:t>
      </w:r>
      <w:r>
        <w:rPr>
          <w:rFonts w:hint="eastAsia" w:asciiTheme="minorEastAsia" w:hAnsiTheme="minorEastAsia" w:eastAsiaTheme="minorEastAsia"/>
        </w:rPr>
        <w:t>。</w:t>
      </w:r>
    </w:p>
    <w:p>
      <w:pPr>
        <w:pStyle w:val="467"/>
      </w:pPr>
      <w:bookmarkStart w:id="272" w:name="_Toc187151560"/>
      <w:bookmarkStart w:id="273" w:name="_Toc188453630"/>
      <w:r>
        <w:rPr>
          <w:rFonts w:hint="eastAsia"/>
        </w:rPr>
        <w:t>（三）拟建生产规模</w:t>
      </w:r>
      <w:bookmarkEnd w:id="237"/>
      <w:bookmarkEnd w:id="272"/>
      <w:bookmarkEnd w:id="273"/>
    </w:p>
    <w:p>
      <w:pPr>
        <w:pStyle w:val="6"/>
        <w:ind w:firstLine="562" w:firstLineChars="200"/>
        <w:rPr>
          <w:rFonts w:hint="default"/>
        </w:rPr>
      </w:pPr>
      <w:r>
        <w:t>1.矿山生产规模</w:t>
      </w:r>
    </w:p>
    <w:p>
      <w:pPr>
        <w:pStyle w:val="98"/>
        <w:ind w:firstLine="560"/>
        <w:rPr>
          <w:rFonts w:asciiTheme="minorEastAsia" w:hAnsiTheme="minorEastAsia" w:eastAsiaTheme="minorEastAsia"/>
        </w:rPr>
      </w:pPr>
      <w:r>
        <w:rPr>
          <w:rFonts w:hint="eastAsia" w:hAnsi="宋体"/>
        </w:rPr>
        <w:t>设计根据《开发利用方案》及《采矿许可证》(证号：C2112002009047120014013)确定本矿山硅灰石精矿生产能力为1万t/a，即生产硅灰石矿石能力为2.47万t/a(按含矿系数54%，回采率85%×手选回采率88%)。</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(1) </w:t>
      </w:r>
      <w:bookmarkStart w:id="274" w:name="OLE_LINK3"/>
      <w:bookmarkStart w:id="275" w:name="OLE_LINK4"/>
      <w:r>
        <w:rPr>
          <w:rFonts w:asciiTheme="minorEastAsia" w:hAnsiTheme="minorEastAsia" w:eastAsiaTheme="minorEastAsia"/>
          <w:sz w:val="28"/>
          <w:szCs w:val="28"/>
        </w:rPr>
        <w:t>按中段可布矿块数计算矿山生产能力</w:t>
      </w:r>
      <w:bookmarkEnd w:id="274"/>
      <w:bookmarkEnd w:id="275"/>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矿山采用浅孔留矿嗣后充填采矿法。根据矿体赋存条件及开采技术条件计算矿山生产能力。</w:t>
      </w:r>
    </w:p>
    <w:p>
      <w:pPr>
        <w:spacing w:line="360" w:lineRule="auto"/>
        <w:jc w:val="center"/>
        <w:rPr>
          <w:rFonts w:asciiTheme="minorEastAsia" w:hAnsiTheme="minorEastAsia" w:eastAsiaTheme="minorEastAsia"/>
          <w:sz w:val="28"/>
          <w:szCs w:val="28"/>
        </w:rPr>
      </w:pPr>
      <w:r>
        <w:rPr>
          <w:rFonts w:asciiTheme="minorEastAsia" w:hAnsiTheme="minorEastAsia" w:eastAsiaTheme="minorEastAsia"/>
          <w:sz w:val="28"/>
          <w:szCs w:val="28"/>
        </w:rPr>
        <w:object>
          <v:shape id="_x0000_i1025" o:spt="75" type="#_x0000_t75" style="height:37.5pt;width:113.25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式中：N－中段可布矿块数，个；</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q－矿块生产能力，t/d；</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K－矿块利用系数；</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E－地质影响系数；</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T－年工作日，d；</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Z－副产矿石率，%；</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A－矿山规模，万t。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按上述参数，验证各中段生产能力，其结果见下表。</w:t>
      </w:r>
    </w:p>
    <w:p>
      <w:pPr>
        <w:pStyle w:val="98"/>
        <w:ind w:firstLine="0" w:firstLineChars="0"/>
        <w:jc w:val="center"/>
        <w:rPr>
          <w:rFonts w:hAnsi="宋体"/>
          <w:b/>
        </w:rPr>
      </w:pPr>
      <w:r>
        <w:rPr>
          <w:rFonts w:hAnsi="宋体"/>
          <w:b/>
        </w:rPr>
        <w:t>表</w:t>
      </w:r>
      <w:r>
        <w:rPr>
          <w:rFonts w:hint="eastAsia" w:hAnsi="宋体"/>
          <w:b/>
        </w:rPr>
        <w:t>4</w:t>
      </w:r>
      <w:r>
        <w:rPr>
          <w:rFonts w:hAnsi="宋体"/>
          <w:b/>
        </w:rPr>
        <w:t>-</w:t>
      </w:r>
      <w:r>
        <w:rPr>
          <w:rFonts w:hint="eastAsia" w:hAnsi="宋体"/>
          <w:b/>
        </w:rPr>
        <w:t>8按可布采场数量确定生产能力结果表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948"/>
        <w:gridCol w:w="949"/>
        <w:gridCol w:w="949"/>
        <w:gridCol w:w="948"/>
        <w:gridCol w:w="949"/>
        <w:gridCol w:w="949"/>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84" w:type="dxa"/>
            <w:tcBorders>
              <w:tl2br w:val="single" w:color="auto" w:sz="4" w:space="0"/>
            </w:tcBorders>
            <w:vAlign w:val="center"/>
          </w:tcPr>
          <w:p>
            <w:pPr>
              <w:widowControl/>
              <w:ind w:right="210"/>
              <w:jc w:val="right"/>
              <w:rPr>
                <w:rFonts w:asciiTheme="minorEastAsia" w:hAnsiTheme="minorEastAsia" w:eastAsiaTheme="minorEastAsia"/>
                <w:kern w:val="0"/>
                <w:sz w:val="24"/>
              </w:rPr>
            </w:pPr>
            <w:r>
              <w:rPr>
                <w:rFonts w:asciiTheme="minorEastAsia" w:hAnsiTheme="minorEastAsia" w:eastAsiaTheme="minorEastAsia"/>
                <w:kern w:val="0"/>
                <w:sz w:val="24"/>
              </w:rPr>
              <w:t>参数</w:t>
            </w:r>
          </w:p>
          <w:p>
            <w:pPr>
              <w:widowControl/>
              <w:ind w:right="210"/>
              <w:jc w:val="left"/>
              <w:rPr>
                <w:rFonts w:asciiTheme="minorEastAsia" w:hAnsiTheme="minorEastAsia" w:eastAsiaTheme="minorEastAsia"/>
                <w:sz w:val="24"/>
              </w:rPr>
            </w:pPr>
            <w:r>
              <w:rPr>
                <w:rFonts w:asciiTheme="minorEastAsia" w:hAnsiTheme="minorEastAsia" w:eastAsiaTheme="minorEastAsia"/>
                <w:kern w:val="0"/>
                <w:sz w:val="24"/>
              </w:rPr>
              <w:t>中段</w:t>
            </w:r>
            <w:r>
              <w:rPr>
                <w:rFonts w:hint="eastAsia" w:asciiTheme="minorEastAsia" w:hAnsiTheme="minorEastAsia" w:eastAsiaTheme="minorEastAsia"/>
                <w:kern w:val="0"/>
                <w:sz w:val="24"/>
              </w:rPr>
              <w:t>标高</w:t>
            </w:r>
          </w:p>
        </w:tc>
        <w:tc>
          <w:tcPr>
            <w:tcW w:w="948"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N</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q</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K</w:t>
            </w:r>
          </w:p>
        </w:tc>
        <w:tc>
          <w:tcPr>
            <w:tcW w:w="948"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E</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T</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Z(%)</w:t>
            </w:r>
          </w:p>
        </w:tc>
        <w:tc>
          <w:tcPr>
            <w:tcW w:w="946" w:type="dxa"/>
            <w:tcBorders>
              <w:bottom w:val="single" w:color="auto" w:sz="4" w:space="0"/>
            </w:tcBorders>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84" w:type="dxa"/>
            <w:tcBorders>
              <w:top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75m</w:t>
            </w:r>
            <w:r>
              <w:rPr>
                <w:rFonts w:asciiTheme="minorEastAsia" w:hAnsiTheme="minorEastAsia" w:eastAsiaTheme="minorEastAsia"/>
                <w:kern w:val="0"/>
                <w:sz w:val="24"/>
              </w:rPr>
              <w:t>中段</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sz w:val="24"/>
              </w:rPr>
              <w:t>10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sz w:val="24"/>
              </w:rPr>
            </w:pPr>
            <w:r>
              <w:rPr>
                <w:rFonts w:hint="eastAsia" w:asciiTheme="minorEastAsia" w:hAnsiTheme="minorEastAsia" w:eastAsiaTheme="minorEastAsia"/>
                <w:sz w:val="24"/>
              </w:rPr>
              <w:t>120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0.32</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0.8</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330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7.41</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84" w:type="dxa"/>
            <w:tcBorders>
              <w:top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45m中段</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sz w:val="24"/>
              </w:rPr>
              <w:t>12</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sz w:val="24"/>
              </w:rPr>
            </w:pPr>
            <w:r>
              <w:rPr>
                <w:rFonts w:hint="eastAsia" w:asciiTheme="minorEastAsia" w:hAnsiTheme="minorEastAsia" w:eastAsiaTheme="minorEastAsia"/>
                <w:sz w:val="24"/>
              </w:rPr>
              <w:t>120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0.32</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0.8</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330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7.41</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12.5</w:t>
            </w:r>
          </w:p>
        </w:tc>
      </w:tr>
    </w:tbl>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(2) </w:t>
      </w:r>
      <w:r>
        <w:rPr>
          <w:rFonts w:hint="eastAsia" w:asciiTheme="minorEastAsia" w:hAnsiTheme="minorEastAsia" w:eastAsiaTheme="minorEastAsia"/>
          <w:sz w:val="28"/>
          <w:szCs w:val="28"/>
          <w:lang w:bidi="zh-CN"/>
        </w:rPr>
        <w:t>按矿山年开采速度验证年产量</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A=</w:t>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EQ \F(V×S×γ×α,1-β) </w:instrText>
      </w:r>
      <w:r>
        <w:rPr>
          <w:rFonts w:hint="eastAsia" w:asciiTheme="minorEastAsia" w:hAnsiTheme="minorEastAsia" w:eastAsiaTheme="minorEastAsia"/>
        </w:rPr>
        <w:fldChar w:fldCharType="end"/>
      </w:r>
      <w:r>
        <w:rPr>
          <w:rFonts w:hint="eastAsia" w:asciiTheme="minorEastAsia" w:hAnsiTheme="minorEastAsia" w:eastAsiaTheme="minorEastAsia"/>
        </w:rPr>
        <w:t>×K</w:t>
      </w:r>
      <w:r>
        <w:rPr>
          <w:rFonts w:hint="eastAsia" w:asciiTheme="minorEastAsia" w:hAnsiTheme="minorEastAsia" w:eastAsiaTheme="minorEastAsia"/>
          <w:vertAlign w:val="subscript"/>
        </w:rPr>
        <w:t>1</w:t>
      </w:r>
      <w:r>
        <w:rPr>
          <w:rFonts w:hint="eastAsia" w:asciiTheme="minorEastAsia" w:hAnsiTheme="minorEastAsia" w:eastAsiaTheme="minorEastAsia"/>
        </w:rPr>
        <w:t>×K</w:t>
      </w:r>
      <w:r>
        <w:rPr>
          <w:rFonts w:hint="eastAsia" w:asciiTheme="minorEastAsia" w:hAnsiTheme="minorEastAsia" w:eastAsiaTheme="minorEastAsia"/>
          <w:vertAlign w:val="subscript"/>
        </w:rPr>
        <w:t>2</w:t>
      </w:r>
      <w:r>
        <w:rPr>
          <w:rFonts w:hint="eastAsia" w:asciiTheme="minorEastAsia" w:hAnsiTheme="minorEastAsia" w:eastAsiaTheme="minorEastAsia"/>
        </w:rPr>
        <w:t>×E=12.5万t/a</w:t>
      </w:r>
    </w:p>
    <w:p>
      <w:pPr>
        <w:pStyle w:val="98"/>
        <w:ind w:firstLine="560"/>
        <w:rPr>
          <w:rFonts w:asciiTheme="minorEastAsia" w:hAnsiTheme="minorEastAsia" w:eastAsiaTheme="minorEastAsia"/>
        </w:rPr>
      </w:pPr>
      <w:r>
        <w:rPr>
          <w:rFonts w:hint="eastAsia" w:asciiTheme="minorEastAsia" w:hAnsiTheme="minorEastAsia" w:eastAsiaTheme="minorEastAsia"/>
        </w:rPr>
        <w:t>式中：V－回采工作下降速度，V＝20m/a；</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S－矿体平均开采面积，2470m</w:t>
      </w:r>
      <w:r>
        <w:rPr>
          <w:rFonts w:hint="eastAsia" w:asciiTheme="minorEastAsia" w:hAnsiTheme="minorEastAsia" w:eastAsiaTheme="minorEastAsia"/>
          <w:vertAlign w:val="superscript"/>
        </w:rPr>
        <w:t>2</w:t>
      </w:r>
      <w:r>
        <w:rPr>
          <w:rFonts w:hint="eastAsia" w:asciiTheme="minorEastAsia" w:hAnsiTheme="minorEastAsia" w:eastAsiaTheme="minorEastAsia"/>
        </w:rPr>
        <w:t>；</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γ－矿石体重，平均2.84t/m</w:t>
      </w:r>
      <w:r>
        <w:rPr>
          <w:rFonts w:hint="eastAsia" w:asciiTheme="minorEastAsia" w:hAnsiTheme="minorEastAsia" w:eastAsiaTheme="minorEastAsia"/>
          <w:vertAlign w:val="superscript"/>
        </w:rPr>
        <w:t>3</w:t>
      </w:r>
      <w:r>
        <w:rPr>
          <w:rFonts w:hint="eastAsia" w:asciiTheme="minorEastAsia" w:hAnsiTheme="minorEastAsia" w:eastAsiaTheme="minorEastAsia"/>
        </w:rPr>
        <w:t>；</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α－矿石回采率，85%；</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β－废石混入率，8%；</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K1、K2—矿体倾角修正系数，1.1；</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E—地质影响系数，取E=0.8。</w:t>
      </w:r>
    </w:p>
    <w:p>
      <w:pPr>
        <w:pStyle w:val="98"/>
        <w:ind w:firstLine="560"/>
      </w:pPr>
      <w:bookmarkStart w:id="276" w:name="_Toc167307752"/>
      <w:r>
        <w:t xml:space="preserve">(3) </w:t>
      </w:r>
      <w:r>
        <w:rPr>
          <w:rFonts w:hint="eastAsia"/>
        </w:rPr>
        <w:t>生产能力分析</w:t>
      </w:r>
    </w:p>
    <w:p>
      <w:pPr>
        <w:pStyle w:val="98"/>
        <w:ind w:firstLine="560"/>
      </w:pPr>
      <w:r>
        <w:rPr>
          <w:rFonts w:hint="eastAsia"/>
        </w:rPr>
        <w:t>按同时生产矿块数和年下降速度验证可以看出，矿山单中段生产可达到</w:t>
      </w:r>
      <w:r>
        <w:t>2.47</w:t>
      </w:r>
      <w:r>
        <w:rPr>
          <w:rFonts w:hint="eastAsia"/>
        </w:rPr>
        <w:t>万</w:t>
      </w:r>
      <w:r>
        <w:t>t/a</w:t>
      </w:r>
      <w:r>
        <w:rPr>
          <w:rFonts w:hint="eastAsia"/>
        </w:rPr>
        <w:t>硅灰石矿石的生产能力。</w:t>
      </w:r>
    </w:p>
    <w:p>
      <w:pPr>
        <w:pStyle w:val="6"/>
        <w:ind w:firstLine="562" w:firstLineChars="200"/>
        <w:rPr>
          <w:rFonts w:hint="default"/>
        </w:rPr>
      </w:pPr>
      <w:r>
        <w:t>2.矿山服务年限</w:t>
      </w:r>
    </w:p>
    <w:p>
      <w:pPr>
        <w:pStyle w:val="98"/>
        <w:ind w:firstLine="560"/>
      </w:pPr>
      <w:r>
        <w:t>根据采矿设计手册及矿山的生产实际，选取适合的矿山开采技术参数，设计贫化率取</w:t>
      </w:r>
      <w:r>
        <w:rPr>
          <w:rFonts w:hint="eastAsia"/>
        </w:rPr>
        <w:t>15</w:t>
      </w:r>
      <w:r>
        <w:t>%。</w:t>
      </w:r>
    </w:p>
    <w:p>
      <w:pPr>
        <w:pStyle w:val="98"/>
        <w:ind w:firstLine="560"/>
      </w:pPr>
      <w:r>
        <w:t>矿山服务年限计算如下：</w:t>
      </w:r>
    </w:p>
    <w:p>
      <w:pPr>
        <w:pStyle w:val="98"/>
        <w:ind w:firstLine="0" w:firstLineChars="0"/>
        <w:jc w:val="center"/>
      </w:pPr>
      <w:bookmarkStart w:id="277" w:name="OLE_LINK215"/>
      <w:bookmarkStart w:id="278" w:name="OLE_LINK214"/>
      <w:r>
        <w:rPr>
          <w:position w:val="-24"/>
        </w:rPr>
        <w:object>
          <v:shape id="_x0000_i1026" o:spt="75" type="#_x0000_t75" style="height:30.75pt;width:197.2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6" r:id="rId26">
            <o:LockedField>false</o:LockedField>
          </o:OLEObject>
        </w:object>
      </w:r>
      <w:bookmarkEnd w:id="277"/>
      <w:bookmarkEnd w:id="278"/>
    </w:p>
    <w:p>
      <w:pPr>
        <w:pStyle w:val="98"/>
        <w:ind w:firstLine="560"/>
      </w:pPr>
      <w:r>
        <w:t>式中：T—矿山服务年限，a；</w:t>
      </w:r>
    </w:p>
    <w:p>
      <w:pPr>
        <w:pStyle w:val="98"/>
        <w:ind w:firstLine="1414" w:firstLineChars="505"/>
      </w:pPr>
      <w:r>
        <w:t>Q—</w:t>
      </w:r>
      <w:r>
        <w:rPr>
          <w:rFonts w:hint="eastAsia"/>
        </w:rPr>
        <w:t>设计利用</w:t>
      </w:r>
      <w:r>
        <w:t>资源量，</w:t>
      </w:r>
      <w:r>
        <w:rPr>
          <w:rFonts w:hint="eastAsia"/>
        </w:rPr>
        <w:t>15.933</w:t>
      </w:r>
      <w:r>
        <w:t>万t</w:t>
      </w:r>
      <w:r>
        <w:rPr>
          <w:rFonts w:hint="eastAsia"/>
        </w:rPr>
        <w:t>；</w:t>
      </w:r>
    </w:p>
    <w:p>
      <w:pPr>
        <w:pStyle w:val="98"/>
        <w:ind w:firstLine="1414" w:firstLineChars="505"/>
      </w:pPr>
      <w:r>
        <w:t>A—年产矿石量，</w:t>
      </w:r>
      <w:r>
        <w:rPr>
          <w:rFonts w:hint="eastAsia"/>
        </w:rPr>
        <w:t>1</w:t>
      </w:r>
      <w:r>
        <w:t>万t/a</w:t>
      </w:r>
      <w:r>
        <w:rPr>
          <w:rFonts w:hint="eastAsia"/>
        </w:rPr>
        <w:t>；</w:t>
      </w:r>
    </w:p>
    <w:p>
      <w:pPr>
        <w:pStyle w:val="98"/>
        <w:ind w:firstLine="1414" w:firstLineChars="505"/>
      </w:pPr>
      <w:r>
        <w:t>α—矿石回采率，</w:t>
      </w:r>
      <w:r>
        <w:rPr>
          <w:rFonts w:hint="eastAsia"/>
        </w:rPr>
        <w:t>地下：85</w:t>
      </w:r>
      <w:r>
        <w:t>%</w:t>
      </w:r>
      <w:r>
        <w:rPr>
          <w:rFonts w:hint="eastAsia"/>
        </w:rPr>
        <w:t>；</w:t>
      </w:r>
    </w:p>
    <w:p>
      <w:pPr>
        <w:pStyle w:val="98"/>
        <w:ind w:firstLine="1414" w:firstLineChars="505"/>
      </w:pPr>
      <w:r>
        <w:t>β—</w:t>
      </w:r>
      <w:r>
        <w:rPr>
          <w:rFonts w:hint="eastAsia"/>
        </w:rPr>
        <w:t>矿石</w:t>
      </w:r>
      <w:r>
        <w:t>贫化率，</w:t>
      </w:r>
      <w:r>
        <w:rPr>
          <w:rFonts w:hint="eastAsia"/>
        </w:rPr>
        <w:t>地下：15</w:t>
      </w:r>
      <w:r>
        <w:t>%</w:t>
      </w:r>
      <w:r>
        <w:rPr>
          <w:rFonts w:hint="eastAsia"/>
        </w:rPr>
        <w:t>。</w:t>
      </w:r>
    </w:p>
    <w:p>
      <w:pPr>
        <w:pStyle w:val="98"/>
        <w:ind w:firstLine="560"/>
      </w:pPr>
      <w:r>
        <w:rPr>
          <w:rFonts w:hint="eastAsia"/>
        </w:rPr>
        <w:t>本方案生产规模为1万t/a，考虑矿山投产前所需达到的三级矿量</w:t>
      </w:r>
      <w:r>
        <w:t>和应达到的矿山生产能力</w:t>
      </w:r>
      <w:r>
        <w:rPr>
          <w:rFonts w:hint="eastAsia"/>
        </w:rPr>
        <w:t>，设计工程均为新建工程，</w:t>
      </w:r>
      <w:r>
        <w:t>需要考虑基建期</w:t>
      </w:r>
      <w:r>
        <w:rPr>
          <w:rFonts w:hint="eastAsia"/>
        </w:rPr>
        <w:t>。</w:t>
      </w:r>
      <w:r>
        <w:t>根据计算的设计利用资源储量，经计算，</w:t>
      </w:r>
      <w:r>
        <w:rPr>
          <w:rFonts w:hint="eastAsia"/>
        </w:rPr>
        <w:t>矿山服务年限15年零11个月(</w:t>
      </w:r>
      <w:r>
        <w:t>不含</w:t>
      </w:r>
      <w:r>
        <w:rPr>
          <w:rFonts w:hint="eastAsia"/>
        </w:rPr>
        <w:t>24个月</w:t>
      </w:r>
      <w:r>
        <w:t>基建期</w:t>
      </w:r>
      <w:r>
        <w:rPr>
          <w:rFonts w:hint="eastAsia"/>
        </w:rPr>
        <w:t>)</w:t>
      </w:r>
      <w:r>
        <w:t>。</w:t>
      </w:r>
    </w:p>
    <w:p>
      <w:pPr>
        <w:pStyle w:val="467"/>
      </w:pPr>
      <w:bookmarkStart w:id="279" w:name="_Toc187151561"/>
      <w:bookmarkStart w:id="280" w:name="_Toc188453631"/>
      <w:r>
        <w:rPr>
          <w:rFonts w:hint="eastAsia"/>
        </w:rPr>
        <w:t>（四）资源综合利用</w:t>
      </w:r>
      <w:bookmarkEnd w:id="276"/>
      <w:bookmarkEnd w:id="279"/>
      <w:bookmarkEnd w:id="280"/>
    </w:p>
    <w:p>
      <w:pPr>
        <w:pStyle w:val="6"/>
        <w:ind w:firstLine="562" w:firstLineChars="200"/>
        <w:rPr>
          <w:rFonts w:hint="default"/>
        </w:rPr>
      </w:pPr>
      <w:r>
        <w:t>1.选矿回收率</w:t>
      </w:r>
    </w:p>
    <w:p>
      <w:pPr>
        <w:pStyle w:val="98"/>
        <w:ind w:firstLine="560"/>
      </w:pPr>
      <w:r>
        <w:rPr>
          <w:rFonts w:hint="eastAsia"/>
        </w:rPr>
        <w:t>矿石中硅灰石为微晶</w:t>
      </w:r>
      <w:r>
        <w:t>-</w:t>
      </w:r>
      <w:r>
        <w:rPr>
          <w:rFonts w:hint="eastAsia"/>
        </w:rPr>
        <w:t>中晶纤维状、层状结构，与脉石矿物较易区分，选矿方法为人工手选，</w:t>
      </w:r>
      <w:r>
        <w:t>矿山采矿</w:t>
      </w:r>
      <w:r>
        <w:rPr>
          <w:rFonts w:hint="eastAsia"/>
        </w:rPr>
        <w:t>回收</w:t>
      </w:r>
      <w:r>
        <w:t>率</w:t>
      </w:r>
      <w:r>
        <w:rPr>
          <w:rFonts w:hint="eastAsia"/>
        </w:rPr>
        <w:t>85</w:t>
      </w:r>
      <w:r>
        <w:t>%，</w:t>
      </w:r>
      <w:r>
        <w:rPr>
          <w:rFonts w:hint="eastAsia"/>
        </w:rPr>
        <w:t>手选</w:t>
      </w:r>
      <w:r>
        <w:t>损失率</w:t>
      </w:r>
      <w:r>
        <w:rPr>
          <w:rFonts w:hint="eastAsia"/>
        </w:rPr>
        <w:t>88</w:t>
      </w:r>
      <w:r>
        <w:t>%，</w:t>
      </w:r>
      <w:r>
        <w:rPr>
          <w:rFonts w:hint="eastAsia"/>
        </w:rPr>
        <w:t>废石混入率5</w:t>
      </w:r>
      <w:r>
        <w:t>%，</w:t>
      </w:r>
      <w:r>
        <w:rPr>
          <w:rFonts w:hint="eastAsia"/>
        </w:rPr>
        <w:t>产品以</w:t>
      </w:r>
      <w:r>
        <w:t>10cm</w:t>
      </w:r>
      <w:r>
        <w:rPr>
          <w:rFonts w:hint="eastAsia"/>
        </w:rPr>
        <w:t>~</w:t>
      </w:r>
      <w:r>
        <w:t>20cm</w:t>
      </w:r>
      <w:r>
        <w:rPr>
          <w:rFonts w:hint="eastAsia"/>
        </w:rPr>
        <w:t>块状硅灰石精矿出口为主，满足建筑陶瓷用硅灰石最低质量标准。其次还有少量硅灰石粉和方解石粉等。</w:t>
      </w:r>
    </w:p>
    <w:p>
      <w:pPr>
        <w:pStyle w:val="98"/>
        <w:ind w:firstLine="560"/>
      </w:pPr>
      <w:r>
        <w:rPr>
          <w:rFonts w:hint="eastAsia"/>
        </w:rPr>
        <w:t>总体来看，现有选矿工艺流程简单，矿石可选性较好，选矿回收率较高。单位矿物量成本总和116元</w:t>
      </w:r>
      <w:r>
        <w:t>/</w:t>
      </w:r>
      <w:r>
        <w:rPr>
          <w:rFonts w:hint="eastAsia"/>
        </w:rPr>
        <w:t>吨，硅灰石销售价格50</w:t>
      </w:r>
      <w:r>
        <w:t>0</w:t>
      </w:r>
      <w:r>
        <w:rPr>
          <w:rFonts w:hint="eastAsia"/>
        </w:rPr>
        <w:t>元</w:t>
      </w:r>
      <w:r>
        <w:t>/</w:t>
      </w:r>
      <w:r>
        <w:rPr>
          <w:rFonts w:hint="eastAsia"/>
        </w:rPr>
        <w:t>吨（不含税）。经技术分析和矿床经济利用价值估算，其经济效益较好。</w:t>
      </w:r>
    </w:p>
    <w:p>
      <w:pPr>
        <w:pStyle w:val="6"/>
        <w:ind w:firstLine="562" w:firstLineChars="200"/>
        <w:rPr>
          <w:rFonts w:hint="default"/>
        </w:rPr>
      </w:pPr>
      <w:r>
        <w:t>2.综合利用率</w:t>
      </w:r>
    </w:p>
    <w:p>
      <w:pPr>
        <w:pStyle w:val="98"/>
        <w:ind w:firstLine="560"/>
      </w:pPr>
      <w:bookmarkStart w:id="281" w:name="OLE_LINK262"/>
      <w:bookmarkStart w:id="282" w:name="OLE_LINK263"/>
      <w:r>
        <w:rPr>
          <w:rFonts w:hint="eastAsia"/>
        </w:rPr>
        <w:t>根据《辽宁省调兵山市泉眼沟硅灰石矿资源储量分割报告》及《〈辽宁省调兵山市泉眼沟硅灰石矿资源储量分割报告〉评审意见书》，确定该矿主矿种为硅灰石矿，平均品位SiO</w:t>
      </w:r>
      <w:r>
        <w:rPr>
          <w:rFonts w:hint="eastAsia"/>
          <w:vertAlign w:val="subscript"/>
        </w:rPr>
        <w:t>2</w:t>
      </w:r>
      <w:r>
        <w:rPr>
          <w:rFonts w:hint="eastAsia"/>
        </w:rPr>
        <w:t>49.43%。</w:t>
      </w:r>
    </w:p>
    <w:p>
      <w:pPr>
        <w:pStyle w:val="98"/>
        <w:ind w:firstLine="560"/>
      </w:pPr>
      <w:bookmarkStart w:id="283" w:name="OLE_LINK223"/>
      <w:bookmarkStart w:id="284" w:name="OLE_LINK224"/>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，该大理岩化学成份完全符合制硅酸盐水泥原料的要求，开采时可以考虑综合利用。</w:t>
      </w:r>
      <w:bookmarkEnd w:id="281"/>
      <w:bookmarkEnd w:id="282"/>
      <w:bookmarkEnd w:id="283"/>
      <w:bookmarkEnd w:id="284"/>
    </w:p>
    <w:p>
      <w:pPr>
        <w:pStyle w:val="6"/>
        <w:ind w:firstLine="562" w:firstLineChars="200"/>
        <w:rPr>
          <w:rFonts w:hint="default"/>
        </w:rPr>
      </w:pPr>
      <w:r>
        <w:t>3.资源保护</w:t>
      </w:r>
    </w:p>
    <w:p>
      <w:pPr>
        <w:pStyle w:val="98"/>
        <w:ind w:firstLine="560"/>
      </w:pPr>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，该大理岩化学成份完全符合制硅酸盐水泥原料的要求，开采时可以考虑综合利用。</w:t>
      </w:r>
    </w:p>
    <w:p>
      <w:pPr>
        <w:sectPr>
          <w:headerReference r:id="rId15" w:type="default"/>
          <w:pgSz w:w="11906" w:h="16838"/>
          <w:pgMar w:top="1440" w:right="1800" w:bottom="1440" w:left="1800" w:header="851" w:footer="782" w:gutter="0"/>
          <w:cols w:space="425" w:num="1"/>
          <w:docGrid w:type="lines" w:linePitch="312" w:charSpace="0"/>
        </w:sectPr>
      </w:pPr>
    </w:p>
    <w:p>
      <w:pPr>
        <w:pStyle w:val="3"/>
        <w:jc w:val="center"/>
      </w:pPr>
      <w:bookmarkStart w:id="285" w:name="_Toc188453632"/>
      <w:bookmarkStart w:id="286" w:name="_Toc187151562"/>
      <w:bookmarkStart w:id="287" w:name="_Toc167307753"/>
      <w:r>
        <w:rPr>
          <w:rFonts w:hint="eastAsia"/>
        </w:rPr>
        <w:t>五、结论</w:t>
      </w:r>
      <w:bookmarkEnd w:id="285"/>
      <w:bookmarkEnd w:id="286"/>
      <w:bookmarkEnd w:id="287"/>
    </w:p>
    <w:p>
      <w:pPr>
        <w:pStyle w:val="467"/>
      </w:pPr>
      <w:bookmarkStart w:id="288" w:name="_Toc188453633"/>
      <w:bookmarkStart w:id="289" w:name="_Toc167307754"/>
      <w:bookmarkStart w:id="290" w:name="_Toc187151563"/>
      <w:bookmarkStart w:id="291" w:name="_Toc154564226"/>
      <w:r>
        <w:rPr>
          <w:rFonts w:hint="eastAsia"/>
        </w:rPr>
        <w:t>（一）资源储量与估算设计利用资源量</w:t>
      </w:r>
      <w:bookmarkEnd w:id="288"/>
      <w:bookmarkEnd w:id="289"/>
      <w:bookmarkEnd w:id="290"/>
    </w:p>
    <w:p>
      <w:pPr>
        <w:pStyle w:val="98"/>
        <w:ind w:firstLine="560"/>
      </w:pPr>
      <w:r>
        <w:rPr>
          <w:rFonts w:hint="eastAsia"/>
        </w:rPr>
        <w:t>(1) 资源储量</w:t>
      </w:r>
    </w:p>
    <w:p>
      <w:pPr>
        <w:pStyle w:val="98"/>
        <w:ind w:firstLine="560"/>
        <w:rPr>
          <w:lang w:bidi="zh-CN"/>
        </w:rPr>
      </w:pPr>
      <w:r>
        <w:rPr>
          <w:rFonts w:hint="eastAsia"/>
          <w:lang w:bidi="zh-CN"/>
        </w:rPr>
        <w:t>2019年3月企业委托辽宁省有色地质一〇四队有限责任公司编制了《辽宁省调兵山市泉眼沟硅灰石矿资源储量分割报告》，截止2019年2月末，</w:t>
      </w:r>
      <w:r>
        <w:rPr>
          <w:rFonts w:hint="eastAsia"/>
        </w:rPr>
        <w:t>分割划定后矿区内硅灰石资源储量(122b+333)57.56万t，其中122b储量26.943万t，333资源量30.617万t；硅灰石精矿资源储量(122b+333)28.848万t，其中122b储量12.621万t，333资源量16.227万t</w:t>
      </w:r>
      <w:r>
        <w:rPr>
          <w:rFonts w:hint="eastAsia"/>
          <w:lang w:bidi="zh-CN"/>
        </w:rPr>
        <w:t>。该核实报告于2019年4月通过了辽宁溪源土地矿产资源评估有限公司组织的专家评审，评审意见书：铁自事评(开)字〔2020〕001号，铁岭市自然资源局对评审意见书予以备案，备案文号为：铁国土资储备字〔2019〕006号。</w:t>
      </w:r>
    </w:p>
    <w:p>
      <w:pPr>
        <w:pStyle w:val="98"/>
        <w:ind w:firstLine="560"/>
      </w:pPr>
      <w:r>
        <w:rPr>
          <w:rFonts w:hint="eastAsia"/>
        </w:rPr>
        <w:t>2024年11月，企业在已有的核实工作基础上进一步查明矿区地质资料，重新提交了《辽宁省调兵山市泉眼沟矿区硅灰石矿补充勘探报告》，该报告于2024年11月通过了专家审查，取得了专家审查意见书。矿床地质资料勘查程度达到勘探要求。</w:t>
      </w:r>
    </w:p>
    <w:p>
      <w:pPr>
        <w:pStyle w:val="98"/>
        <w:ind w:firstLine="560"/>
      </w:pPr>
      <w:r>
        <w:rPr>
          <w:rFonts w:hint="eastAsia"/>
        </w:rPr>
        <w:t>矿区范围内共圈出1条硅灰石矿体，截止到2024年10月31日，采矿权范围内保有硅灰石矿石量(探明资源量+控制资源量+推断资源量)</w:t>
      </w:r>
      <w:bookmarkStart w:id="292" w:name="OLE_LINK320"/>
      <w:bookmarkStart w:id="293" w:name="OLE_LINK319"/>
      <w:r>
        <w:rPr>
          <w:rFonts w:hint="eastAsia"/>
        </w:rPr>
        <w:t>48.248</w:t>
      </w:r>
      <w:bookmarkEnd w:id="292"/>
      <w:bookmarkEnd w:id="293"/>
      <w:r>
        <w:rPr>
          <w:rFonts w:hint="eastAsia"/>
        </w:rPr>
        <w:t>万t，其中探明资源量8.239万t，控制资源量18.773万t，推断资源量2.1236万t；硅灰石精矿量(探明资源量+控制资源量+推断资源量)25.886万t，其中探明资源量4.037万t，控制资源量10.268万t，推断资源量11.581万t。</w:t>
      </w:r>
    </w:p>
    <w:p>
      <w:pPr>
        <w:pStyle w:val="98"/>
        <w:ind w:firstLine="560"/>
      </w:pPr>
      <w:r>
        <w:rPr>
          <w:rFonts w:hint="eastAsia"/>
        </w:rPr>
        <w:t>《补充勘探报告》与2019年《</w:t>
      </w:r>
      <w:r>
        <w:rPr>
          <w:rFonts w:hint="eastAsia"/>
          <w:lang w:bidi="zh-CN"/>
        </w:rPr>
        <w:t>资源储量分割报告</w:t>
      </w:r>
      <w:r>
        <w:rPr>
          <w:rFonts w:hint="eastAsia"/>
        </w:rPr>
        <w:t>》对比，采矿权范围内硅灰石矿石量减少了9.312万t，矿区范围内累计查明资源量119.422万t，资源储量变化率为-7.8%。资源量变化原因是：</w:t>
      </w:r>
    </w:p>
    <w:p>
      <w:pPr>
        <w:pStyle w:val="98"/>
        <w:ind w:firstLine="560"/>
      </w:pPr>
      <w:r>
        <w:rPr>
          <w:rFonts w:hint="eastAsia"/>
        </w:rPr>
        <w:t xml:space="preserve">(1) </w:t>
      </w:r>
      <w:bookmarkStart w:id="294" w:name="OLE_LINK25"/>
      <w:r>
        <w:rPr>
          <w:rFonts w:hint="eastAsia"/>
        </w:rPr>
        <w:t>矿山生产开采，导致资源量减少(安全生产许可证有效期至2021年5月)。</w:t>
      </w:r>
      <w:bookmarkEnd w:id="294"/>
    </w:p>
    <w:p>
      <w:pPr>
        <w:pStyle w:val="98"/>
        <w:ind w:firstLine="560"/>
      </w:pPr>
      <w:r>
        <w:t xml:space="preserve">(2) </w:t>
      </w:r>
      <w:bookmarkStart w:id="295" w:name="OLE_LINK27"/>
      <w:bookmarkStart w:id="296" w:name="OLE_LINK28"/>
      <w:r>
        <w:rPr>
          <w:rFonts w:hint="eastAsia"/>
        </w:rPr>
        <w:t>矿山在早期开采形成的采空区上方留设了间柱及顶柱，本次核实对采空区矿柱资源储量进行了核减。</w:t>
      </w:r>
      <w:bookmarkEnd w:id="295"/>
      <w:bookmarkEnd w:id="296"/>
    </w:p>
    <w:p>
      <w:pPr>
        <w:pStyle w:val="98"/>
        <w:ind w:firstLine="560"/>
      </w:pPr>
      <w:r>
        <w:rPr>
          <w:rFonts w:hint="eastAsia"/>
        </w:rPr>
        <w:t>根据《自然资源部关于推进矿产资源管理改革若干事项的意见(试行)》(自然资规[2019]7号)中明确：缩减矿产资源储量政府直接评审备案范围，减轻矿业权人负担。评审备案范围探矿权转采矿权、采矿权变更矿种与范围，油气矿产在探采矿期间探明地质储量、其他矿产在采矿期间资源量发生重大变化的(变化量超过30%或达到中型规模以上的)，以及建设项目压覆重要矿产，应当编制矿产资源储量报告，申请评审备案。本项目资源量变化量为7.8%，不超过30%，不在评审备案范围内。</w:t>
      </w:r>
    </w:p>
    <w:p>
      <w:pPr>
        <w:pStyle w:val="98"/>
        <w:ind w:firstLine="560"/>
      </w:pPr>
      <w:r>
        <w:rPr>
          <w:rFonts w:hint="eastAsia"/>
        </w:rPr>
        <w:t>(2) 设计利用资源储量</w:t>
      </w:r>
    </w:p>
    <w:p>
      <w:pPr>
        <w:pStyle w:val="98"/>
        <w:ind w:firstLine="560"/>
      </w:pPr>
      <w:r>
        <w:rPr>
          <w:rFonts w:hint="eastAsia"/>
        </w:rPr>
        <w:t>调兵山市硅灰石井巷矿于2024年11月提交了《辽宁省调兵山市泉眼沟矿区硅灰石矿补充勘探报告》，该报告于</w:t>
      </w:r>
      <w:r>
        <w:t>2024</w:t>
      </w:r>
      <w:r>
        <w:rPr>
          <w:rFonts w:hint="eastAsia"/>
        </w:rPr>
        <w:t>年</w:t>
      </w:r>
      <w:r>
        <w:t>11</w:t>
      </w:r>
      <w:r>
        <w:rPr>
          <w:rFonts w:hint="eastAsia"/>
        </w:rPr>
        <w:t>月通过了专家审查，取得了专家审查意见书，出具了《〈</w:t>
      </w:r>
      <w:bookmarkStart w:id="297" w:name="OLE_LINK242"/>
      <w:bookmarkStart w:id="298" w:name="OLE_LINK241"/>
      <w:r>
        <w:rPr>
          <w:rFonts w:hint="eastAsia"/>
        </w:rPr>
        <w:t>辽宁省调兵山市泉眼沟矿区硅灰石矿补充勘探报告</w:t>
      </w:r>
      <w:bookmarkEnd w:id="297"/>
      <w:bookmarkEnd w:id="298"/>
      <w:r>
        <w:rPr>
          <w:rFonts w:hint="eastAsia"/>
        </w:rPr>
        <w:t>〉审查意见书》。截止到</w:t>
      </w:r>
      <w:r>
        <w:t>2024</w:t>
      </w:r>
      <w:r>
        <w:rPr>
          <w:rFonts w:hint="eastAsia"/>
        </w:rPr>
        <w:t>年</w:t>
      </w:r>
      <w:r>
        <w:t>10</w:t>
      </w:r>
      <w:r>
        <w:rPr>
          <w:rFonts w:hint="eastAsia"/>
        </w:rPr>
        <w:t>月</w:t>
      </w:r>
      <w:r>
        <w:t>31</w:t>
      </w:r>
      <w:r>
        <w:rPr>
          <w:rFonts w:hint="eastAsia"/>
        </w:rPr>
        <w:t>日，采矿权范围内保有硅灰石矿石量</w:t>
      </w:r>
      <w:r>
        <w:t>(</w:t>
      </w:r>
      <w:r>
        <w:rPr>
          <w:rFonts w:hint="eastAsia"/>
        </w:rPr>
        <w:t>探明资源量</w:t>
      </w:r>
      <w:r>
        <w:t>+</w:t>
      </w:r>
      <w:r>
        <w:rPr>
          <w:rFonts w:hint="eastAsia"/>
        </w:rPr>
        <w:t>控制资源量</w:t>
      </w:r>
      <w:r>
        <w:t>+</w:t>
      </w:r>
      <w:r>
        <w:rPr>
          <w:rFonts w:hint="eastAsia"/>
        </w:rPr>
        <w:t>推断资源量</w:t>
      </w:r>
      <w:r>
        <w:t>)48.248</w:t>
      </w:r>
      <w:r>
        <w:rPr>
          <w:rFonts w:hint="eastAsia"/>
        </w:rPr>
        <w:t>万</w:t>
      </w:r>
      <w:r>
        <w:t>t</w:t>
      </w:r>
      <w:r>
        <w:rPr>
          <w:rFonts w:hint="eastAsia"/>
        </w:rPr>
        <w:t>，其中探明资源量</w:t>
      </w:r>
      <w:r>
        <w:t>8.239</w:t>
      </w:r>
      <w:r>
        <w:rPr>
          <w:rFonts w:hint="eastAsia"/>
        </w:rPr>
        <w:t>万</w:t>
      </w:r>
      <w:r>
        <w:t>t</w:t>
      </w:r>
      <w:r>
        <w:rPr>
          <w:rFonts w:hint="eastAsia"/>
        </w:rPr>
        <w:t>，控制资源量</w:t>
      </w:r>
      <w:r>
        <w:t>18.773</w:t>
      </w:r>
      <w:r>
        <w:rPr>
          <w:rFonts w:hint="eastAsia"/>
        </w:rPr>
        <w:t>万</w:t>
      </w:r>
      <w:r>
        <w:t>t</w:t>
      </w:r>
      <w:r>
        <w:rPr>
          <w:rFonts w:hint="eastAsia"/>
        </w:rPr>
        <w:t>，推断资源量</w:t>
      </w:r>
      <w:r>
        <w:t>2.1236</w:t>
      </w:r>
      <w:r>
        <w:rPr>
          <w:rFonts w:hint="eastAsia"/>
        </w:rPr>
        <w:t>万</w:t>
      </w:r>
      <w:r>
        <w:t>t</w:t>
      </w:r>
      <w:r>
        <w:rPr>
          <w:rFonts w:hint="eastAsia"/>
        </w:rPr>
        <w:t>；硅灰石精矿量</w:t>
      </w:r>
      <w:r>
        <w:t>(</w:t>
      </w:r>
      <w:r>
        <w:rPr>
          <w:rFonts w:hint="eastAsia"/>
        </w:rPr>
        <w:t>探明资源量</w:t>
      </w:r>
      <w:r>
        <w:t>+</w:t>
      </w:r>
      <w:r>
        <w:rPr>
          <w:rFonts w:hint="eastAsia"/>
        </w:rPr>
        <w:t>控制资源量</w:t>
      </w:r>
      <w:r>
        <w:t>+</w:t>
      </w:r>
      <w:r>
        <w:rPr>
          <w:rFonts w:hint="eastAsia"/>
        </w:rPr>
        <w:t>推断资源量</w:t>
      </w:r>
      <w:r>
        <w:t>)25.886</w:t>
      </w:r>
      <w:r>
        <w:rPr>
          <w:rFonts w:hint="eastAsia"/>
        </w:rPr>
        <w:t>万</w:t>
      </w:r>
      <w:r>
        <w:t>t</w:t>
      </w:r>
      <w:r>
        <w:rPr>
          <w:rFonts w:hint="eastAsia"/>
        </w:rPr>
        <w:t>，其中探明资源量</w:t>
      </w:r>
      <w:r>
        <w:t>4.037</w:t>
      </w:r>
      <w:r>
        <w:rPr>
          <w:rFonts w:hint="eastAsia"/>
        </w:rPr>
        <w:t>万</w:t>
      </w:r>
      <w:r>
        <w:t>t</w:t>
      </w:r>
      <w:r>
        <w:rPr>
          <w:rFonts w:hint="eastAsia"/>
        </w:rPr>
        <w:t>，控制资源量</w:t>
      </w:r>
      <w:r>
        <w:t>10.268</w:t>
      </w:r>
      <w:r>
        <w:rPr>
          <w:rFonts w:hint="eastAsia"/>
        </w:rPr>
        <w:t>万</w:t>
      </w:r>
      <w:r>
        <w:t>t</w:t>
      </w:r>
      <w:r>
        <w:rPr>
          <w:rFonts w:hint="eastAsia"/>
        </w:rPr>
        <w:t>，推断资源量</w:t>
      </w:r>
      <w:r>
        <w:t>11.581</w:t>
      </w:r>
      <w:r>
        <w:rPr>
          <w:rFonts w:hint="eastAsia"/>
        </w:rPr>
        <w:t>万</w:t>
      </w:r>
      <w:r>
        <w:t>t</w:t>
      </w:r>
      <w:r>
        <w:rPr>
          <w:rFonts w:hint="eastAsia"/>
        </w:rPr>
        <w:t>。</w:t>
      </w:r>
    </w:p>
    <w:p>
      <w:pPr>
        <w:pStyle w:val="98"/>
        <w:ind w:firstLine="560"/>
      </w:pPr>
      <w:r>
        <w:rPr>
          <w:rFonts w:hint="eastAsia"/>
        </w:rPr>
        <w:t>由于</w:t>
      </w:r>
      <w:bookmarkStart w:id="299" w:name="_Hlk164256902"/>
      <w:bookmarkStart w:id="300" w:name="OLE_LINK239"/>
      <w:bookmarkStart w:id="301" w:name="OLE_LINK240"/>
      <w:r>
        <w:rPr>
          <w:rFonts w:hint="eastAsia"/>
        </w:rPr>
        <w:t>矿区西南侧为南城子山</w:t>
      </w:r>
      <w:bookmarkStart w:id="302" w:name="OLE_LINK251"/>
      <w:bookmarkStart w:id="303" w:name="OLE_LINK252"/>
      <w:r>
        <w:rPr>
          <w:rFonts w:hint="eastAsia"/>
        </w:rPr>
        <w:t>遗址</w:t>
      </w:r>
      <w:bookmarkStart w:id="304" w:name="OLE_LINK249"/>
      <w:bookmarkStart w:id="305" w:name="OLE_LINK250"/>
      <w:r>
        <w:rPr>
          <w:rFonts w:hint="eastAsia"/>
        </w:rPr>
        <w:t>保护区</w:t>
      </w:r>
      <w:bookmarkEnd w:id="302"/>
      <w:bookmarkEnd w:id="303"/>
      <w:bookmarkEnd w:id="304"/>
      <w:bookmarkEnd w:id="305"/>
      <w:r>
        <w:rPr>
          <w:rFonts w:hint="eastAsia"/>
        </w:rPr>
        <w:t>，为保护遗址保护区，设计留设保安矿柱，保安矿柱以遗址保护区外沿5m为基准，然后向下以第四系45°、基岩70°划定。设计保安矿柱硅灰石矿石量暂不利用资源储量为3.277万t，硅灰石精矿量暂不利用资源储量为1.504万t；本次设计最低开采中段以下需留设5m水仓高度，受矿界限制，45m中段以下矿体不能进行开采，45m中段以下边角损失硅灰石矿石量暂不利用资源储量为3.11万t，硅灰石精矿量暂不利用资源储量为1.62万t；矿房间顶柱硅灰石矿石量暂不利用资源储量为12.558万t，硅灰石精矿量暂不利用资源储量为6.829万t。</w:t>
      </w:r>
    </w:p>
    <w:p>
      <w:pPr>
        <w:pStyle w:val="98"/>
        <w:ind w:firstLine="560"/>
      </w:pPr>
      <w:r>
        <w:rPr>
          <w:rFonts w:hint="eastAsia"/>
        </w:rPr>
        <w:t>综上，设计硅灰石矿石量暂不利用资源储量为18.945万t，硅灰石精矿量暂不利用资源储量为9.953万t，本次设计利用硅灰石矿石量</w:t>
      </w:r>
      <w:r>
        <w:t>(</w:t>
      </w:r>
      <w:r>
        <w:rPr>
          <w:rFonts w:hint="eastAsia"/>
        </w:rPr>
        <w:t>探明+控制+推断)资源量为29.303万t</w:t>
      </w:r>
      <w:bookmarkEnd w:id="299"/>
      <w:r>
        <w:rPr>
          <w:rFonts w:hint="eastAsia"/>
        </w:rPr>
        <w:t>,硅灰石精矿量</w:t>
      </w:r>
      <w:r>
        <w:t>(</w:t>
      </w:r>
      <w:r>
        <w:rPr>
          <w:rFonts w:hint="eastAsia"/>
        </w:rPr>
        <w:t>探明+控制+推断)资源量为15.933万t。</w:t>
      </w:r>
      <w:bookmarkEnd w:id="300"/>
      <w:bookmarkEnd w:id="301"/>
    </w:p>
    <w:p>
      <w:pPr>
        <w:pStyle w:val="467"/>
      </w:pPr>
      <w:bookmarkStart w:id="306" w:name="_Toc188453634"/>
      <w:bookmarkStart w:id="307" w:name="_Toc167307755"/>
      <w:bookmarkStart w:id="308" w:name="_Toc187151564"/>
      <w:r>
        <w:rPr>
          <w:rFonts w:hint="eastAsia"/>
        </w:rPr>
        <w:t>（二）采矿权矿区范围</w:t>
      </w:r>
      <w:bookmarkEnd w:id="291"/>
      <w:bookmarkEnd w:id="306"/>
      <w:bookmarkEnd w:id="307"/>
      <w:bookmarkEnd w:id="308"/>
    </w:p>
    <w:p>
      <w:pPr>
        <w:pStyle w:val="98"/>
        <w:ind w:firstLine="560"/>
      </w:pPr>
      <w:bookmarkStart w:id="309" w:name="_Toc154564227"/>
      <w:bookmarkStart w:id="310" w:name="_Toc167307756"/>
      <w:r>
        <w:rPr>
          <w:rFonts w:hint="eastAsia"/>
        </w:rPr>
        <w:t>2019年10月，调兵山市硅灰石井巷矿取得</w:t>
      </w:r>
      <w:bookmarkStart w:id="311" w:name="OLE_LINK161"/>
      <w:r>
        <w:rPr>
          <w:rFonts w:hint="eastAsia"/>
        </w:rPr>
        <w:t>铁岭市自然资源局</w:t>
      </w:r>
      <w:bookmarkEnd w:id="311"/>
      <w:r>
        <w:rPr>
          <w:rFonts w:hint="eastAsia"/>
        </w:rPr>
        <w:t>颁发颁发</w:t>
      </w:r>
      <w:bookmarkStart w:id="312" w:name="OLE_LINK254"/>
      <w:bookmarkStart w:id="313" w:name="OLE_LINK253"/>
      <w:r>
        <w:rPr>
          <w:rFonts w:hint="eastAsia"/>
        </w:rPr>
        <w:t>采矿许可证</w:t>
      </w:r>
      <w:bookmarkEnd w:id="312"/>
      <w:bookmarkEnd w:id="313"/>
      <w:r>
        <w:t>。</w:t>
      </w:r>
    </w:p>
    <w:p>
      <w:pPr>
        <w:pStyle w:val="98"/>
        <w:ind w:firstLine="560"/>
        <w:rPr>
          <w:rFonts w:hAnsi="宋体"/>
          <w:b/>
        </w:rPr>
      </w:pPr>
      <w:r>
        <w:rPr>
          <w:rFonts w:hint="eastAsia" w:hAnsi="宋体"/>
        </w:rPr>
        <w:t>根据采矿许可证(证号：</w:t>
      </w:r>
      <w:r>
        <w:rPr>
          <w:rFonts w:hint="eastAsia"/>
        </w:rPr>
        <w:t>C2112002009047120014013</w:t>
      </w:r>
      <w:r>
        <w:rPr>
          <w:rFonts w:hint="eastAsia" w:hAnsi="宋体"/>
        </w:rPr>
        <w:t>)</w:t>
      </w:r>
      <w:r>
        <w:rPr>
          <w:rFonts w:hAnsi="宋体"/>
        </w:rPr>
        <w:t>确定的</w:t>
      </w:r>
      <w:r>
        <w:rPr>
          <w:rFonts w:hint="eastAsia" w:hAnsi="宋体"/>
        </w:rPr>
        <w:t>调兵山市硅灰石井巷矿</w:t>
      </w:r>
      <w:r>
        <w:rPr>
          <w:rFonts w:hAnsi="宋体"/>
        </w:rPr>
        <w:t>矿区范围由</w:t>
      </w:r>
      <w:r>
        <w:rPr>
          <w:rFonts w:hint="eastAsia" w:hAnsi="宋体"/>
        </w:rPr>
        <w:t>12</w:t>
      </w:r>
      <w:r>
        <w:rPr>
          <w:rFonts w:hAnsi="宋体"/>
        </w:rPr>
        <w:t>个拐点圈定，开采深度</w:t>
      </w:r>
      <w:r>
        <w:rPr>
          <w:rFonts w:hint="eastAsia" w:hAnsi="宋体"/>
        </w:rPr>
        <w:t>由250</w:t>
      </w:r>
      <w:r>
        <w:rPr>
          <w:rFonts w:hAnsi="宋体"/>
        </w:rPr>
        <w:t>m至</w:t>
      </w:r>
      <w:r>
        <w:rPr>
          <w:rFonts w:hint="eastAsia" w:hAnsi="宋体"/>
        </w:rPr>
        <w:t>40</w:t>
      </w:r>
      <w:r>
        <w:rPr>
          <w:rFonts w:hAnsi="宋体"/>
        </w:rPr>
        <w:t>m，矿区面积</w:t>
      </w:r>
      <w:r>
        <w:rPr>
          <w:rFonts w:hint="eastAsia" w:hAnsi="宋体"/>
        </w:rPr>
        <w:t>0.2847km</w:t>
      </w:r>
      <w:r>
        <w:rPr>
          <w:rFonts w:hAnsi="宋体"/>
          <w:vertAlign w:val="superscript"/>
        </w:rPr>
        <w:t>2</w:t>
      </w:r>
    </w:p>
    <w:p>
      <w:pPr>
        <w:pStyle w:val="467"/>
      </w:pPr>
      <w:bookmarkStart w:id="314" w:name="_Toc187151565"/>
      <w:bookmarkStart w:id="315" w:name="_Toc188453635"/>
      <w:r>
        <w:rPr>
          <w:rFonts w:hint="eastAsia"/>
        </w:rPr>
        <w:t>（三）开采矿种</w:t>
      </w:r>
      <w:bookmarkEnd w:id="309"/>
      <w:bookmarkEnd w:id="310"/>
      <w:bookmarkEnd w:id="314"/>
      <w:bookmarkEnd w:id="315"/>
    </w:p>
    <w:p>
      <w:pPr>
        <w:pStyle w:val="98"/>
        <w:ind w:firstLine="560"/>
      </w:pPr>
      <w:r>
        <w:rPr>
          <w:rFonts w:asciiTheme="minorEastAsia" w:hAnsiTheme="minorEastAsia" w:eastAsiaTheme="minorEastAsia"/>
        </w:rPr>
        <w:t>本次方案设计开采矿种为</w:t>
      </w:r>
      <w:r>
        <w:rPr>
          <w:rFonts w:hint="eastAsia" w:asciiTheme="minorEastAsia" w:hAnsiTheme="minorEastAsia" w:eastAsiaTheme="minorEastAsia"/>
        </w:rPr>
        <w:t>硅灰石</w:t>
      </w:r>
      <w:r>
        <w:rPr>
          <w:rFonts w:hint="eastAsia"/>
        </w:rPr>
        <w:t>。</w:t>
      </w:r>
    </w:p>
    <w:p>
      <w:pPr>
        <w:pStyle w:val="467"/>
      </w:pPr>
      <w:bookmarkStart w:id="316" w:name="_Toc167307757"/>
      <w:bookmarkStart w:id="317" w:name="_Toc188453636"/>
      <w:bookmarkStart w:id="318" w:name="_Toc187151566"/>
      <w:r>
        <w:rPr>
          <w:rFonts w:hint="eastAsia"/>
        </w:rPr>
        <w:t>（四）开采方式、开采顺序、采矿方法</w:t>
      </w:r>
      <w:bookmarkEnd w:id="316"/>
      <w:bookmarkEnd w:id="317"/>
      <w:bookmarkEnd w:id="318"/>
    </w:p>
    <w:p>
      <w:pPr>
        <w:pStyle w:val="98"/>
        <w:ind w:firstLine="560"/>
      </w:pPr>
      <w:r>
        <w:rPr>
          <w:rFonts w:hint="eastAsia"/>
        </w:rPr>
        <w:t>(1) 开采方式</w:t>
      </w:r>
    </w:p>
    <w:p>
      <w:pPr>
        <w:pStyle w:val="98"/>
        <w:ind w:firstLine="560"/>
      </w:pPr>
      <w:r>
        <w:t>本次设计开采方式为</w:t>
      </w:r>
      <w:r>
        <w:rPr>
          <w:rFonts w:hint="eastAsia"/>
        </w:rPr>
        <w:t>地下</w:t>
      </w:r>
      <w:r>
        <w:t>开采</w:t>
      </w:r>
      <w:r>
        <w:rPr>
          <w:rFonts w:hint="eastAsia"/>
        </w:rPr>
        <w:t>，</w:t>
      </w:r>
      <w:r>
        <w:t>与矿山现开采方式一致。</w:t>
      </w:r>
    </w:p>
    <w:p>
      <w:pPr>
        <w:pStyle w:val="98"/>
        <w:ind w:firstLine="560"/>
      </w:pPr>
      <w:r>
        <w:rPr>
          <w:rFonts w:hint="eastAsia"/>
        </w:rPr>
        <w:t>(2) 开采顺序</w:t>
      </w:r>
    </w:p>
    <w:p>
      <w:pPr>
        <w:pStyle w:val="98"/>
        <w:ind w:firstLine="560"/>
      </w:pPr>
      <w:r>
        <w:rPr>
          <w:rFonts w:hint="eastAsia"/>
        </w:rPr>
        <w:t>根据矿体的赋存情况及开采技术条件，充分考虑水文地质、工程地质、环境地质因素的影响，根据矿区内矿体的空间展布，矿区范围内一个采区整体考虑，对于整个开采系统而言，确定矿床开采顺序采用自上而下分中段回采，各中段矿体采用从下向上开采，由回风侧向入风侧后退式回采。</w:t>
      </w:r>
    </w:p>
    <w:p>
      <w:pPr>
        <w:pStyle w:val="98"/>
        <w:ind w:firstLine="560"/>
        <w:rPr>
          <w:rFonts w:hAnsi="宋体"/>
        </w:rPr>
      </w:pPr>
      <w:r>
        <w:rPr>
          <w:rFonts w:hint="eastAsia" w:hAnsi="宋体"/>
        </w:rPr>
        <w:t>(3) 采矿方法</w:t>
      </w:r>
    </w:p>
    <w:p>
      <w:pPr>
        <w:pStyle w:val="98"/>
        <w:ind w:firstLine="560"/>
        <w:rPr>
          <w:rFonts w:hAnsi="宋体"/>
        </w:rPr>
      </w:pPr>
      <w:r>
        <w:rPr>
          <w:rFonts w:hint="eastAsia" w:hAnsi="宋体"/>
        </w:rPr>
        <w:t>本项目性质为改建项目，设计采矿方法选取参照《采矿设计手册》，并类比相似矿山，依据矿体赋存条件，设计采用浅孔留矿</w:t>
      </w:r>
      <w:r>
        <w:rPr>
          <w:rFonts w:hAnsi="宋体"/>
        </w:rPr>
        <w:t>嗣后充填法</w:t>
      </w:r>
      <w:r>
        <w:rPr>
          <w:rFonts w:hint="eastAsia" w:hAnsi="宋体"/>
        </w:rPr>
        <w:t>。</w:t>
      </w:r>
    </w:p>
    <w:p>
      <w:pPr>
        <w:pStyle w:val="467"/>
      </w:pPr>
      <w:bookmarkStart w:id="319" w:name="_Toc154564228"/>
      <w:bookmarkStart w:id="320" w:name="_Toc188453637"/>
      <w:bookmarkStart w:id="321" w:name="_Toc187151567"/>
      <w:bookmarkStart w:id="322" w:name="_Toc167307758"/>
      <w:r>
        <w:rPr>
          <w:rFonts w:hint="eastAsia"/>
        </w:rPr>
        <w:t>（五）拟建生产规模、矿山服务年限</w:t>
      </w:r>
      <w:bookmarkEnd w:id="319"/>
      <w:bookmarkEnd w:id="320"/>
      <w:bookmarkEnd w:id="321"/>
      <w:bookmarkEnd w:id="322"/>
    </w:p>
    <w:p>
      <w:pPr>
        <w:pStyle w:val="98"/>
        <w:ind w:firstLine="560"/>
        <w:rPr>
          <w:rFonts w:hAnsi="宋体"/>
        </w:rPr>
      </w:pPr>
      <w:r>
        <w:rPr>
          <w:rFonts w:hint="eastAsia" w:hAnsi="宋体"/>
        </w:rPr>
        <w:t>采矿许可证（证号：</w:t>
      </w:r>
      <w:r>
        <w:rPr>
          <w:rFonts w:hAnsi="宋体"/>
        </w:rPr>
        <w:t>C2112002009047120014013</w:t>
      </w:r>
      <w:r>
        <w:rPr>
          <w:rFonts w:hint="eastAsia" w:hAnsi="宋体"/>
        </w:rPr>
        <w:t>），矿山生产规模为1</w:t>
      </w:r>
      <w:r>
        <w:rPr>
          <w:rFonts w:hAnsi="宋体"/>
        </w:rPr>
        <w:t>万</w:t>
      </w:r>
      <w:r>
        <w:rPr>
          <w:rFonts w:hint="eastAsia" w:hAnsi="宋体"/>
        </w:rPr>
        <w:t>t/a。与验证的生产规模吻合，</w:t>
      </w:r>
      <w:r>
        <w:rPr>
          <w:rFonts w:hAnsi="宋体"/>
        </w:rPr>
        <w:t>在产业政策方面，建设规模符合产业政策要求。</w:t>
      </w:r>
    </w:p>
    <w:p>
      <w:pPr>
        <w:pStyle w:val="98"/>
        <w:ind w:firstLine="560"/>
      </w:pPr>
      <w:r>
        <w:rPr>
          <w:rFonts w:hint="eastAsia" w:hAnsi="宋体"/>
        </w:rPr>
        <w:t>经计算，矿山服务年限为15年零11个月</w:t>
      </w:r>
      <w:r>
        <w:rPr>
          <w:rFonts w:hint="eastAsia"/>
        </w:rPr>
        <w:t>(不含基建期)</w:t>
      </w:r>
      <w:r>
        <w:rPr>
          <w:rFonts w:hAnsi="宋体"/>
        </w:rPr>
        <w:t>。</w:t>
      </w:r>
    </w:p>
    <w:p>
      <w:pPr>
        <w:pStyle w:val="467"/>
      </w:pPr>
      <w:bookmarkStart w:id="323" w:name="_Toc188453638"/>
      <w:bookmarkStart w:id="324" w:name="_Toc154564231"/>
      <w:bookmarkStart w:id="325" w:name="_Toc167307759"/>
      <w:bookmarkStart w:id="326" w:name="_Toc187151568"/>
      <w:r>
        <w:rPr>
          <w:rFonts w:hint="eastAsia"/>
        </w:rPr>
        <w:t>（六）资源综合利用</w:t>
      </w:r>
      <w:bookmarkEnd w:id="323"/>
      <w:bookmarkEnd w:id="324"/>
      <w:bookmarkEnd w:id="325"/>
      <w:bookmarkEnd w:id="326"/>
    </w:p>
    <w:p>
      <w:pPr>
        <w:pStyle w:val="98"/>
        <w:ind w:firstLine="560"/>
      </w:pPr>
      <w:r>
        <w:rPr>
          <w:rFonts w:hint="eastAsia"/>
        </w:rPr>
        <w:t>矿石中硅灰石为微晶-中晶纤维状、层状结构，与脉石矿物较易区分，选矿方法为人工手选，矿山采矿回收率85%，手选损失率88%，废石混入率5%，产品以10cm~20cm块状硅灰石精矿出口为主，满足建筑陶瓷用硅灰石最低质量标准。其次还有少量硅灰石粉和方解石粉等。</w:t>
      </w:r>
    </w:p>
    <w:bookmarkEnd w:id="20"/>
    <w:bookmarkEnd w:id="21"/>
    <w:bookmarkEnd w:id="22"/>
    <w:p>
      <w:pPr>
        <w:pStyle w:val="98"/>
        <w:ind w:firstLine="560"/>
      </w:pPr>
      <w:r>
        <w:rPr>
          <w:rFonts w:hint="eastAsia"/>
        </w:rPr>
        <w:t>根据《辽宁省调兵山市泉眼沟硅灰石矿资源储量分割报告》及《〈辽宁省调兵山市泉眼沟硅灰石矿资源储量分割报告〉评审意见书》，确定该矿主矿种为硅灰石矿，平均品位SiO</w:t>
      </w:r>
      <w:r>
        <w:rPr>
          <w:rFonts w:hint="eastAsia"/>
          <w:vertAlign w:val="subscript"/>
        </w:rPr>
        <w:t>2</w:t>
      </w:r>
      <w:r>
        <w:rPr>
          <w:rFonts w:hint="eastAsia"/>
        </w:rPr>
        <w:t>49.43%。</w:t>
      </w:r>
    </w:p>
    <w:p>
      <w:pPr>
        <w:pStyle w:val="98"/>
        <w:ind w:firstLine="560"/>
      </w:pPr>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，该大理岩化学成份完全符合制硅酸盐水泥原料的要求，开采时可以考虑综合利用。</w:t>
      </w:r>
    </w:p>
    <w:p>
      <w:pPr>
        <w:pStyle w:val="98"/>
        <w:ind w:firstLine="560"/>
        <w:rPr>
          <w:highlight w:val="yellow"/>
        </w:rPr>
        <w:sectPr>
          <w:pgSz w:w="11906" w:h="16838"/>
          <w:pgMar w:top="1440" w:right="1800" w:bottom="1440" w:left="1800" w:header="851" w:footer="813" w:gutter="0"/>
          <w:cols w:space="425" w:num="1"/>
          <w:docGrid w:type="lines" w:linePitch="312" w:charSpace="0"/>
        </w:sectPr>
      </w:pPr>
    </w:p>
    <w:p>
      <w:pPr>
        <w:pStyle w:val="3"/>
      </w:pPr>
      <w:bookmarkStart w:id="327" w:name="_Toc187151569"/>
      <w:bookmarkStart w:id="328" w:name="_Toc188453639"/>
      <w:r>
        <w:t>附件</w:t>
      </w:r>
      <w:bookmarkEnd w:id="327"/>
      <w:bookmarkEnd w:id="328"/>
    </w:p>
    <w:p>
      <w:pPr>
        <w:pStyle w:val="467"/>
        <w:rPr>
          <w:b w:val="0"/>
          <w:sz w:val="28"/>
          <w:szCs w:val="28"/>
        </w:rPr>
      </w:pPr>
      <w:bookmarkStart w:id="329" w:name="_Toc188453640"/>
      <w:bookmarkStart w:id="330" w:name="_Toc187151570"/>
      <w:bookmarkStart w:id="331" w:name="OLE_LINK290"/>
      <w:bookmarkStart w:id="332" w:name="OLE_LINK291"/>
      <w:bookmarkStart w:id="333" w:name="OLE_LINK286"/>
      <w:bookmarkStart w:id="334" w:name="OLE_LINK285"/>
      <w:r>
        <w:rPr>
          <w:b w:val="0"/>
          <w:sz w:val="28"/>
          <w:szCs w:val="28"/>
        </w:rPr>
        <w:t>1.矿产资源开发利用方案编制信息及承诺书</w:t>
      </w:r>
      <w:r>
        <w:rPr>
          <w:rFonts w:hint="eastAsia"/>
          <w:b w:val="0"/>
          <w:sz w:val="28"/>
          <w:szCs w:val="28"/>
        </w:rPr>
        <w:t>；</w:t>
      </w:r>
      <w:bookmarkEnd w:id="329"/>
      <w:bookmarkEnd w:id="330"/>
    </w:p>
    <w:p>
      <w:pPr>
        <w:pStyle w:val="467"/>
        <w:rPr>
          <w:b w:val="0"/>
          <w:sz w:val="28"/>
          <w:szCs w:val="28"/>
        </w:rPr>
      </w:pPr>
      <w:bookmarkStart w:id="335" w:name="_Toc187151571"/>
      <w:bookmarkStart w:id="336" w:name="_Toc188453641"/>
      <w:bookmarkStart w:id="337" w:name="_Toc186190019"/>
      <w:r>
        <w:rPr>
          <w:rFonts w:hint="eastAsia"/>
          <w:b w:val="0"/>
          <w:sz w:val="28"/>
          <w:szCs w:val="28"/>
        </w:rPr>
        <w:t>2.矿产资源开发利用方案综合信息表；</w:t>
      </w:r>
      <w:bookmarkEnd w:id="335"/>
      <w:bookmarkEnd w:id="336"/>
      <w:bookmarkEnd w:id="337"/>
    </w:p>
    <w:p>
      <w:pPr>
        <w:pStyle w:val="467"/>
        <w:rPr>
          <w:b w:val="0"/>
          <w:sz w:val="28"/>
          <w:szCs w:val="28"/>
        </w:rPr>
      </w:pPr>
      <w:bookmarkStart w:id="338" w:name="_Toc188453642"/>
      <w:bookmarkStart w:id="339" w:name="_Toc187151572"/>
      <w:r>
        <w:rPr>
          <w:rFonts w:hint="eastAsia"/>
          <w:b w:val="0"/>
          <w:sz w:val="28"/>
          <w:szCs w:val="28"/>
        </w:rPr>
        <w:t>3.</w:t>
      </w:r>
      <w:r>
        <w:rPr>
          <w:b w:val="0"/>
          <w:sz w:val="28"/>
          <w:szCs w:val="28"/>
        </w:rPr>
        <w:t>营业执照</w:t>
      </w:r>
      <w:r>
        <w:rPr>
          <w:rFonts w:hint="eastAsia"/>
          <w:b w:val="0"/>
          <w:sz w:val="28"/>
          <w:szCs w:val="28"/>
        </w:rPr>
        <w:t>(</w:t>
      </w:r>
      <w:r>
        <w:rPr>
          <w:b w:val="0"/>
          <w:sz w:val="28"/>
          <w:szCs w:val="28"/>
        </w:rPr>
        <w:t>统一社会信用代码：</w:t>
      </w:r>
      <w:r>
        <w:rPr>
          <w:rFonts w:hint="eastAsia"/>
          <w:b w:val="0"/>
          <w:sz w:val="28"/>
          <w:szCs w:val="28"/>
        </w:rPr>
        <w:t>912112817308236158)</w:t>
      </w:r>
      <w:r>
        <w:rPr>
          <w:b w:val="0"/>
          <w:sz w:val="28"/>
          <w:szCs w:val="28"/>
        </w:rPr>
        <w:t>；</w:t>
      </w:r>
      <w:bookmarkEnd w:id="338"/>
      <w:bookmarkEnd w:id="339"/>
    </w:p>
    <w:p>
      <w:pPr>
        <w:pStyle w:val="467"/>
        <w:rPr>
          <w:b w:val="0"/>
          <w:sz w:val="28"/>
          <w:szCs w:val="28"/>
        </w:rPr>
      </w:pPr>
      <w:bookmarkStart w:id="340" w:name="_Toc187151573"/>
      <w:bookmarkStart w:id="341" w:name="_Toc188453643"/>
      <w:r>
        <w:rPr>
          <w:rFonts w:hint="eastAsia"/>
          <w:b w:val="0"/>
          <w:sz w:val="28"/>
          <w:szCs w:val="28"/>
        </w:rPr>
        <w:t>4</w:t>
      </w:r>
      <w:r>
        <w:rPr>
          <w:b w:val="0"/>
          <w:sz w:val="28"/>
          <w:szCs w:val="28"/>
        </w:rPr>
        <w:t>.采矿许可证</w:t>
      </w:r>
      <w:r>
        <w:rPr>
          <w:rFonts w:hint="eastAsia"/>
          <w:b w:val="0"/>
          <w:sz w:val="28"/>
          <w:szCs w:val="28"/>
        </w:rPr>
        <w:t>(</w:t>
      </w:r>
      <w:r>
        <w:rPr>
          <w:b w:val="0"/>
          <w:sz w:val="28"/>
          <w:szCs w:val="28"/>
        </w:rPr>
        <w:t>证号：</w:t>
      </w:r>
      <w:r>
        <w:rPr>
          <w:rFonts w:hint="eastAsia"/>
          <w:b w:val="0"/>
          <w:sz w:val="28"/>
          <w:szCs w:val="28"/>
        </w:rPr>
        <w:t>C2112002009047120014013)；</w:t>
      </w:r>
      <w:bookmarkEnd w:id="340"/>
      <w:bookmarkEnd w:id="341"/>
    </w:p>
    <w:p>
      <w:pPr>
        <w:pStyle w:val="467"/>
        <w:rPr>
          <w:b w:val="0"/>
          <w:sz w:val="28"/>
          <w:szCs w:val="28"/>
        </w:rPr>
      </w:pPr>
      <w:bookmarkStart w:id="342" w:name="_Toc187151574"/>
      <w:bookmarkStart w:id="343" w:name="_Toc188453644"/>
      <w:r>
        <w:rPr>
          <w:rFonts w:hint="eastAsia"/>
          <w:b w:val="0"/>
          <w:sz w:val="28"/>
          <w:szCs w:val="28"/>
        </w:rPr>
        <w:t>5.</w:t>
      </w:r>
      <w:r>
        <w:rPr>
          <w:b w:val="0"/>
          <w:sz w:val="28"/>
          <w:szCs w:val="28"/>
        </w:rPr>
        <w:t>申请人承诺书；</w:t>
      </w:r>
      <w:bookmarkEnd w:id="342"/>
      <w:bookmarkEnd w:id="343"/>
    </w:p>
    <w:p>
      <w:pPr>
        <w:pStyle w:val="467"/>
        <w:rPr>
          <w:b w:val="0"/>
          <w:sz w:val="28"/>
          <w:szCs w:val="28"/>
        </w:rPr>
      </w:pPr>
      <w:bookmarkStart w:id="344" w:name="_Toc187151575"/>
      <w:bookmarkStart w:id="345" w:name="_Toc186190023"/>
      <w:bookmarkStart w:id="346" w:name="_Toc188453645"/>
      <w:r>
        <w:rPr>
          <w:rFonts w:hint="eastAsia"/>
          <w:b w:val="0"/>
          <w:sz w:val="28"/>
          <w:szCs w:val="28"/>
        </w:rPr>
        <w:t>6.开发利用方案编制</w:t>
      </w:r>
      <w:r>
        <w:rPr>
          <w:b w:val="0"/>
          <w:sz w:val="28"/>
          <w:szCs w:val="28"/>
        </w:rPr>
        <w:t>委托书；</w:t>
      </w:r>
      <w:bookmarkEnd w:id="344"/>
      <w:bookmarkEnd w:id="345"/>
      <w:bookmarkEnd w:id="346"/>
    </w:p>
    <w:p>
      <w:pPr>
        <w:pStyle w:val="467"/>
        <w:rPr>
          <w:b w:val="0"/>
          <w:sz w:val="28"/>
          <w:szCs w:val="28"/>
        </w:rPr>
      </w:pPr>
      <w:bookmarkStart w:id="347" w:name="_Toc188453646"/>
      <w:bookmarkStart w:id="348" w:name="_Toc186190024"/>
      <w:bookmarkStart w:id="349" w:name="_Toc187151576"/>
      <w:r>
        <w:rPr>
          <w:rFonts w:hint="eastAsia"/>
          <w:b w:val="0"/>
          <w:sz w:val="28"/>
          <w:szCs w:val="28"/>
        </w:rPr>
        <w:t>7.方案编制单位承诺书；</w:t>
      </w:r>
      <w:bookmarkEnd w:id="347"/>
      <w:bookmarkEnd w:id="348"/>
      <w:bookmarkEnd w:id="349"/>
    </w:p>
    <w:p>
      <w:pPr>
        <w:pStyle w:val="467"/>
        <w:rPr>
          <w:b w:val="0"/>
          <w:sz w:val="28"/>
          <w:szCs w:val="28"/>
        </w:rPr>
      </w:pPr>
      <w:bookmarkStart w:id="350" w:name="_Toc187151578"/>
      <w:bookmarkStart w:id="351" w:name="_Toc188453647"/>
      <w:r>
        <w:rPr>
          <w:rFonts w:hint="eastAsia"/>
          <w:b w:val="0"/>
          <w:sz w:val="28"/>
          <w:szCs w:val="28"/>
        </w:rPr>
        <w:t>8</w:t>
      </w:r>
      <w:r>
        <w:rPr>
          <w:b w:val="0"/>
          <w:sz w:val="28"/>
          <w:szCs w:val="28"/>
        </w:rPr>
        <w:t>.《</w:t>
      </w:r>
      <w:bookmarkStart w:id="352" w:name="OLE_LINK281"/>
      <w:bookmarkStart w:id="353" w:name="OLE_LINK282"/>
      <w:r>
        <w:rPr>
          <w:rFonts w:hint="eastAsia"/>
          <w:b w:val="0"/>
          <w:sz w:val="28"/>
          <w:szCs w:val="28"/>
        </w:rPr>
        <w:t>调兵山市硅灰石井巷矿</w:t>
      </w:r>
      <w:bookmarkEnd w:id="352"/>
      <w:bookmarkEnd w:id="353"/>
      <w:r>
        <w:rPr>
          <w:rFonts w:hint="eastAsia"/>
          <w:b w:val="0"/>
          <w:sz w:val="28"/>
          <w:szCs w:val="28"/>
        </w:rPr>
        <w:t>矿产资源开发利用方案</w:t>
      </w:r>
      <w:bookmarkStart w:id="354" w:name="OLE_LINK192"/>
      <w:bookmarkStart w:id="355" w:name="OLE_LINK193"/>
      <w:r>
        <w:rPr>
          <w:rFonts w:hint="eastAsia"/>
          <w:b w:val="0"/>
          <w:sz w:val="28"/>
          <w:szCs w:val="28"/>
          <w:lang w:bidi="zh-CN"/>
        </w:rPr>
        <w:t>(调整方案)</w:t>
      </w:r>
      <w:bookmarkEnd w:id="354"/>
      <w:bookmarkEnd w:id="355"/>
      <w:r>
        <w:rPr>
          <w:b w:val="0"/>
          <w:sz w:val="28"/>
          <w:szCs w:val="28"/>
        </w:rPr>
        <w:t>》审查意见书</w:t>
      </w:r>
      <w:bookmarkEnd w:id="350"/>
      <w:r>
        <w:rPr>
          <w:rFonts w:hint="eastAsia"/>
          <w:b w:val="0"/>
          <w:sz w:val="28"/>
          <w:szCs w:val="28"/>
        </w:rPr>
        <w:t>(铁自事评(开)字〔2019〕03号，2019</w:t>
      </w:r>
      <w:bookmarkStart w:id="356" w:name="OLE_LINK275"/>
      <w:bookmarkStart w:id="357" w:name="OLE_LINK276"/>
      <w:r>
        <w:rPr>
          <w:rFonts w:hint="eastAsia"/>
          <w:b w:val="0"/>
          <w:sz w:val="28"/>
          <w:szCs w:val="28"/>
        </w:rPr>
        <w:t>年5月</w:t>
      </w:r>
      <w:bookmarkEnd w:id="356"/>
      <w:bookmarkEnd w:id="357"/>
      <w:r>
        <w:rPr>
          <w:b w:val="0"/>
          <w:sz w:val="28"/>
          <w:szCs w:val="28"/>
        </w:rPr>
        <w:t>；</w:t>
      </w:r>
      <w:bookmarkEnd w:id="351"/>
    </w:p>
    <w:p>
      <w:pPr>
        <w:pStyle w:val="467"/>
        <w:rPr>
          <w:b w:val="0"/>
          <w:sz w:val="28"/>
          <w:szCs w:val="28"/>
        </w:rPr>
      </w:pPr>
      <w:bookmarkStart w:id="358" w:name="_Toc188453648"/>
      <w:bookmarkStart w:id="359" w:name="_Toc187151581"/>
      <w:r>
        <w:rPr>
          <w:rFonts w:hint="eastAsia"/>
          <w:b w:val="0"/>
          <w:sz w:val="28"/>
          <w:szCs w:val="28"/>
        </w:rPr>
        <w:t>9</w:t>
      </w:r>
      <w:r>
        <w:rPr>
          <w:b w:val="0"/>
          <w:sz w:val="28"/>
          <w:szCs w:val="28"/>
        </w:rPr>
        <w:t>.《</w:t>
      </w:r>
      <w:r>
        <w:rPr>
          <w:rFonts w:hint="eastAsia"/>
          <w:b w:val="0"/>
          <w:sz w:val="28"/>
          <w:szCs w:val="28"/>
          <w:lang w:bidi="zh-CN"/>
        </w:rPr>
        <w:t>&lt;辽宁省调兵山市泉眼沟矿区硅灰石矿补充勘探报告&gt;评审意见书</w:t>
      </w:r>
      <w:r>
        <w:rPr>
          <w:b w:val="0"/>
          <w:sz w:val="28"/>
          <w:szCs w:val="28"/>
        </w:rPr>
        <w:t>》，</w:t>
      </w:r>
      <w:r>
        <w:rPr>
          <w:rFonts w:hint="eastAsia"/>
          <w:b w:val="0"/>
          <w:sz w:val="28"/>
          <w:szCs w:val="28"/>
        </w:rPr>
        <w:t>2024年11月</w:t>
      </w:r>
      <w:bookmarkEnd w:id="331"/>
      <w:bookmarkEnd w:id="332"/>
      <w:r>
        <w:rPr>
          <w:b w:val="0"/>
          <w:sz w:val="28"/>
          <w:szCs w:val="28"/>
        </w:rPr>
        <w:t>；</w:t>
      </w:r>
      <w:bookmarkEnd w:id="333"/>
      <w:bookmarkEnd w:id="334"/>
      <w:bookmarkEnd w:id="358"/>
      <w:bookmarkEnd w:id="359"/>
    </w:p>
    <w:p>
      <w:pPr>
        <w:pStyle w:val="467"/>
        <w:sectPr>
          <w:footerReference r:id="rId16" w:type="default"/>
          <w:pgSz w:w="11906" w:h="16838"/>
          <w:pgMar w:top="1440" w:right="1800" w:bottom="1440" w:left="1800" w:header="851" w:footer="992" w:gutter="0"/>
          <w:cols w:space="425" w:num="1"/>
          <w:docGrid w:type="lines" w:linePitch="312" w:charSpace="0"/>
        </w:sectPr>
      </w:pPr>
    </w:p>
    <w:p>
      <w:pPr>
        <w:pStyle w:val="3"/>
      </w:pPr>
      <w:bookmarkStart w:id="360" w:name="_Toc29355"/>
      <w:bookmarkStart w:id="361" w:name="_Toc187151585"/>
      <w:bookmarkStart w:id="362" w:name="_Toc188453649"/>
      <w:r>
        <w:t>附图</w:t>
      </w:r>
      <w:bookmarkEnd w:id="360"/>
      <w:bookmarkEnd w:id="361"/>
      <w:bookmarkEnd w:id="362"/>
    </w:p>
    <w:p>
      <w:pPr>
        <w:pStyle w:val="467"/>
        <w:rPr>
          <w:b w:val="0"/>
          <w:sz w:val="28"/>
          <w:szCs w:val="28"/>
        </w:rPr>
      </w:pPr>
      <w:bookmarkStart w:id="363" w:name="_Toc187151586"/>
      <w:bookmarkStart w:id="364" w:name="_Toc188453650"/>
      <w:r>
        <w:rPr>
          <w:b w:val="0"/>
          <w:sz w:val="28"/>
          <w:szCs w:val="28"/>
        </w:rPr>
        <w:t>1.图纸目录</w:t>
      </w:r>
      <w:bookmarkEnd w:id="363"/>
      <w:bookmarkEnd w:id="364"/>
    </w:p>
    <w:p>
      <w:pPr>
        <w:pStyle w:val="467"/>
        <w:rPr>
          <w:b w:val="0"/>
          <w:sz w:val="28"/>
          <w:szCs w:val="28"/>
        </w:rPr>
      </w:pPr>
      <w:bookmarkStart w:id="365" w:name="_Toc188453651"/>
      <w:bookmarkStart w:id="366" w:name="_Toc187151587"/>
      <w:r>
        <w:rPr>
          <w:b w:val="0"/>
          <w:sz w:val="28"/>
          <w:szCs w:val="28"/>
        </w:rPr>
        <w:t>2.</w:t>
      </w:r>
      <w:r>
        <w:rPr>
          <w:rFonts w:hint="eastAsia"/>
          <w:b w:val="0"/>
          <w:sz w:val="28"/>
          <w:szCs w:val="28"/>
        </w:rPr>
        <w:t>地形地质及矿区范围图</w:t>
      </w:r>
      <w:r>
        <w:rPr>
          <w:b w:val="0"/>
          <w:sz w:val="28"/>
          <w:szCs w:val="28"/>
        </w:rPr>
        <w:t>1:</w:t>
      </w:r>
      <w:r>
        <w:rPr>
          <w:rFonts w:hint="eastAsia"/>
          <w:b w:val="0"/>
          <w:sz w:val="28"/>
          <w:szCs w:val="28"/>
        </w:rPr>
        <w:t>2</w:t>
      </w:r>
      <w:r>
        <w:rPr>
          <w:b w:val="0"/>
          <w:sz w:val="28"/>
          <w:szCs w:val="28"/>
        </w:rPr>
        <w:t>000</w:t>
      </w:r>
      <w:bookmarkEnd w:id="365"/>
      <w:bookmarkEnd w:id="366"/>
    </w:p>
    <w:p>
      <w:pPr>
        <w:pStyle w:val="467"/>
        <w:rPr>
          <w:b w:val="0"/>
          <w:sz w:val="28"/>
          <w:szCs w:val="28"/>
        </w:rPr>
      </w:pPr>
      <w:bookmarkStart w:id="367" w:name="_Toc187151588"/>
      <w:bookmarkStart w:id="368" w:name="_Toc188453652"/>
      <w:r>
        <w:rPr>
          <w:rFonts w:hint="eastAsia"/>
          <w:b w:val="0"/>
          <w:sz w:val="28"/>
          <w:szCs w:val="28"/>
        </w:rPr>
        <w:t>3</w:t>
      </w:r>
      <w:r>
        <w:rPr>
          <w:b w:val="0"/>
          <w:sz w:val="28"/>
          <w:szCs w:val="28"/>
        </w:rPr>
        <w:t>.</w:t>
      </w:r>
      <w:r>
        <w:rPr>
          <w:rFonts w:hint="eastAsia"/>
          <w:b w:val="0"/>
          <w:sz w:val="28"/>
          <w:szCs w:val="28"/>
        </w:rPr>
        <w:t>总平面</w:t>
      </w:r>
      <w:r>
        <w:rPr>
          <w:b w:val="0"/>
          <w:sz w:val="28"/>
          <w:szCs w:val="28"/>
        </w:rPr>
        <w:t>布置1:2000</w:t>
      </w:r>
      <w:bookmarkEnd w:id="367"/>
      <w:bookmarkEnd w:id="368"/>
    </w:p>
    <w:p>
      <w:pPr>
        <w:pStyle w:val="467"/>
        <w:rPr>
          <w:b w:val="0"/>
          <w:sz w:val="28"/>
          <w:szCs w:val="28"/>
        </w:rPr>
      </w:pPr>
      <w:bookmarkStart w:id="369" w:name="_Toc188453653"/>
      <w:bookmarkStart w:id="370" w:name="_Toc187151589"/>
      <w:r>
        <w:rPr>
          <w:rFonts w:hint="eastAsia"/>
          <w:b w:val="0"/>
          <w:sz w:val="28"/>
          <w:szCs w:val="28"/>
        </w:rPr>
        <w:t>4</w:t>
      </w:r>
      <w:r>
        <w:rPr>
          <w:b w:val="0"/>
          <w:sz w:val="28"/>
          <w:szCs w:val="28"/>
        </w:rPr>
        <w:t>.</w:t>
      </w:r>
      <w:r>
        <w:rPr>
          <w:rFonts w:hint="eastAsia"/>
          <w:b w:val="0"/>
          <w:sz w:val="28"/>
          <w:szCs w:val="28"/>
        </w:rPr>
        <w:t>井上</w:t>
      </w:r>
      <w:r>
        <w:rPr>
          <w:b w:val="0"/>
          <w:sz w:val="28"/>
          <w:szCs w:val="28"/>
        </w:rPr>
        <w:t>下工程对照图1:</w:t>
      </w:r>
      <w:r>
        <w:rPr>
          <w:rFonts w:hint="eastAsia"/>
          <w:b w:val="0"/>
          <w:sz w:val="28"/>
          <w:szCs w:val="28"/>
        </w:rPr>
        <w:t>2</w:t>
      </w:r>
      <w:r>
        <w:rPr>
          <w:b w:val="0"/>
          <w:sz w:val="28"/>
          <w:szCs w:val="28"/>
        </w:rPr>
        <w:t>000</w:t>
      </w:r>
      <w:bookmarkEnd w:id="369"/>
      <w:bookmarkEnd w:id="370"/>
    </w:p>
    <w:p>
      <w:pPr>
        <w:pStyle w:val="467"/>
        <w:rPr>
          <w:b w:val="0"/>
          <w:sz w:val="28"/>
          <w:szCs w:val="28"/>
        </w:rPr>
      </w:pPr>
      <w:bookmarkStart w:id="371" w:name="_Toc188453654"/>
      <w:bookmarkStart w:id="372" w:name="_Toc187151590"/>
      <w:r>
        <w:rPr>
          <w:rFonts w:hint="eastAsia"/>
          <w:b w:val="0"/>
          <w:sz w:val="28"/>
          <w:szCs w:val="28"/>
        </w:rPr>
        <w:t>5</w:t>
      </w:r>
      <w:r>
        <w:rPr>
          <w:b w:val="0"/>
          <w:sz w:val="28"/>
          <w:szCs w:val="28"/>
        </w:rPr>
        <w:t>.</w:t>
      </w:r>
      <w:r>
        <w:rPr>
          <w:rFonts w:hint="eastAsia"/>
          <w:b w:val="0"/>
          <w:sz w:val="28"/>
          <w:szCs w:val="28"/>
        </w:rPr>
        <w:t>开拓系统</w:t>
      </w:r>
      <w:r>
        <w:rPr>
          <w:b w:val="0"/>
          <w:sz w:val="28"/>
          <w:szCs w:val="28"/>
        </w:rPr>
        <w:t>垂直纵投影图1:2000</w:t>
      </w:r>
      <w:bookmarkEnd w:id="371"/>
      <w:bookmarkEnd w:id="372"/>
    </w:p>
    <w:p>
      <w:pPr>
        <w:pStyle w:val="467"/>
        <w:rPr>
          <w:b w:val="0"/>
          <w:sz w:val="28"/>
          <w:szCs w:val="28"/>
        </w:rPr>
      </w:pPr>
      <w:bookmarkStart w:id="373" w:name="_Toc188453655"/>
      <w:bookmarkStart w:id="374" w:name="_Toc187151591"/>
      <w:r>
        <w:rPr>
          <w:rFonts w:hint="eastAsia"/>
          <w:b w:val="0"/>
          <w:sz w:val="28"/>
          <w:szCs w:val="28"/>
        </w:rPr>
        <w:t>6</w:t>
      </w:r>
      <w:r>
        <w:rPr>
          <w:b w:val="0"/>
          <w:sz w:val="28"/>
          <w:szCs w:val="28"/>
        </w:rPr>
        <w:t>.</w:t>
      </w:r>
      <w:r>
        <w:rPr>
          <w:rFonts w:hint="eastAsia"/>
          <w:b w:val="0"/>
          <w:sz w:val="28"/>
          <w:szCs w:val="28"/>
        </w:rPr>
        <w:t>三叠</w:t>
      </w:r>
      <w:r>
        <w:rPr>
          <w:b w:val="0"/>
          <w:sz w:val="28"/>
          <w:szCs w:val="28"/>
        </w:rPr>
        <w:t>图1:</w:t>
      </w:r>
      <w:r>
        <w:rPr>
          <w:rFonts w:hint="eastAsia"/>
          <w:b w:val="0"/>
          <w:sz w:val="28"/>
          <w:szCs w:val="28"/>
        </w:rPr>
        <w:t>2</w:t>
      </w:r>
      <w:r>
        <w:rPr>
          <w:b w:val="0"/>
          <w:sz w:val="28"/>
          <w:szCs w:val="28"/>
        </w:rPr>
        <w:t>000</w:t>
      </w:r>
      <w:bookmarkEnd w:id="373"/>
      <w:bookmarkEnd w:id="374"/>
    </w:p>
    <w:p>
      <w:pPr>
        <w:pStyle w:val="467"/>
        <w:rPr>
          <w:b w:val="0"/>
          <w:sz w:val="28"/>
          <w:szCs w:val="28"/>
        </w:rPr>
      </w:pPr>
      <w:bookmarkStart w:id="375" w:name="_Toc187151592"/>
      <w:bookmarkStart w:id="376" w:name="_Toc188453656"/>
      <w:r>
        <w:rPr>
          <w:rFonts w:hint="eastAsia"/>
          <w:b w:val="0"/>
          <w:sz w:val="28"/>
          <w:szCs w:val="28"/>
        </w:rPr>
        <w:t>7</w:t>
      </w:r>
      <w:r>
        <w:rPr>
          <w:b w:val="0"/>
          <w:sz w:val="28"/>
          <w:szCs w:val="28"/>
        </w:rPr>
        <w:t>.</w:t>
      </w:r>
      <w:r>
        <w:rPr>
          <w:rFonts w:hint="eastAsia"/>
          <w:b w:val="0"/>
          <w:sz w:val="28"/>
          <w:szCs w:val="28"/>
        </w:rPr>
        <w:t>地质勘探线剖面</w:t>
      </w:r>
      <w:r>
        <w:rPr>
          <w:b w:val="0"/>
          <w:sz w:val="28"/>
          <w:szCs w:val="28"/>
        </w:rPr>
        <w:t>图1:</w:t>
      </w:r>
      <w:r>
        <w:rPr>
          <w:rFonts w:hint="eastAsia"/>
          <w:b w:val="0"/>
          <w:sz w:val="28"/>
          <w:szCs w:val="28"/>
        </w:rPr>
        <w:t>2</w:t>
      </w:r>
      <w:r>
        <w:rPr>
          <w:b w:val="0"/>
          <w:sz w:val="28"/>
          <w:szCs w:val="28"/>
        </w:rPr>
        <w:t>000</w:t>
      </w:r>
      <w:bookmarkEnd w:id="375"/>
      <w:bookmarkEnd w:id="376"/>
    </w:p>
    <w:p>
      <w:pPr>
        <w:pStyle w:val="467"/>
        <w:rPr>
          <w:b w:val="0"/>
          <w:sz w:val="28"/>
          <w:szCs w:val="28"/>
        </w:rPr>
      </w:pPr>
      <w:bookmarkStart w:id="377" w:name="_Toc187151593"/>
      <w:bookmarkStart w:id="378" w:name="_Toc188453657"/>
      <w:r>
        <w:rPr>
          <w:rFonts w:hint="eastAsia"/>
          <w:b w:val="0"/>
          <w:sz w:val="28"/>
          <w:szCs w:val="28"/>
        </w:rPr>
        <w:t>8</w:t>
      </w:r>
      <w:r>
        <w:rPr>
          <w:b w:val="0"/>
          <w:sz w:val="28"/>
          <w:szCs w:val="28"/>
        </w:rPr>
        <w:t>.</w:t>
      </w:r>
      <w:r>
        <w:rPr>
          <w:rFonts w:hint="eastAsia"/>
          <w:b w:val="0"/>
          <w:sz w:val="28"/>
          <w:szCs w:val="28"/>
        </w:rPr>
        <w:t>浅孔留矿</w:t>
      </w:r>
      <w:r>
        <w:rPr>
          <w:b w:val="0"/>
          <w:sz w:val="28"/>
          <w:szCs w:val="28"/>
        </w:rPr>
        <w:t>嗣后充填法采矿方法示意图</w:t>
      </w:r>
      <w:bookmarkEnd w:id="377"/>
      <w:bookmarkEnd w:id="378"/>
    </w:p>
    <w:p>
      <w:pPr>
        <w:spacing w:line="360" w:lineRule="auto"/>
        <w:ind w:firstLine="560" w:firstLineChars="200"/>
        <w:rPr>
          <w:rFonts w:asciiTheme="minorEastAsia" w:hAnsiTheme="minorEastAsia" w:eastAsiaTheme="minorEastAsia"/>
          <w:sz w:val="28"/>
          <w:szCs w:val="28"/>
        </w:rPr>
      </w:pPr>
    </w:p>
    <w:p>
      <w:pPr>
        <w:spacing w:line="360" w:lineRule="auto"/>
      </w:pPr>
    </w:p>
    <w:p>
      <w:pPr>
        <w:spacing w:line="360" w:lineRule="auto"/>
      </w:pPr>
    </w:p>
    <w:sectPr>
      <w:footerReference r:id="rId1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Nimbus Roman No9 L"/>
    <w:panose1 w:val="020B0604020202020204"/>
    <w:charset w:val="00"/>
    <w:family w:val="swiss"/>
    <w:pitch w:val="default"/>
    <w:sig w:usb0="00000000" w:usb1="00000000"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altName w:val="DejaVu Sans"/>
    <w:panose1 w:val="02070309020205020404"/>
    <w:charset w:val="00"/>
    <w:family w:val="modern"/>
    <w:pitch w:val="default"/>
    <w:sig w:usb0="00000000" w:usb1="00000000"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monospace">
    <w:altName w:val="永中仿宋"/>
    <w:panose1 w:val="00000000000000000000"/>
    <w:charset w:val="00"/>
    <w:family w:val="auto"/>
    <w:pitch w:val="default"/>
    <w:sig w:usb0="00000000" w:usb1="00000000" w:usb2="00000000" w:usb3="00000000" w:csb0="00040001" w:csb1="00000000"/>
  </w:font>
  <w:font w:name="MingLiU">
    <w:altName w:val="Droid Sans Japanese"/>
    <w:panose1 w:val="02010609000101010101"/>
    <w:charset w:val="88"/>
    <w:family w:val="modern"/>
    <w:pitch w:val="default"/>
    <w:sig w:usb0="00000000" w:usb1="00000000" w:usb2="00000010" w:usb3="00000000" w:csb0="00100000" w:csb1="00000000"/>
  </w:font>
  <w:font w:name="TimesNewRomanPSMT">
    <w:altName w:val="Nimbus Roman No9 L"/>
    <w:panose1 w:val="00000000000000000000"/>
    <w:charset w:val="00"/>
    <w:family w:val="auto"/>
    <w:pitch w:val="default"/>
    <w:sig w:usb0="00000000" w:usb1="00000000" w:usb2="00000000" w:usb3="00000000" w:csb0="00040001" w:csb1="00000000"/>
  </w:font>
  <w:font w:name="Century">
    <w:altName w:val="FreeSerif"/>
    <w:panose1 w:val="02040604050505020304"/>
    <w:charset w:val="00"/>
    <w:family w:val="roman"/>
    <w:pitch w:val="default"/>
    <w:sig w:usb0="00000000" w:usb1="00000000" w:usb2="00000000" w:usb3="00000000" w:csb0="0000009F" w:csb1="00000000"/>
  </w:font>
  <w:font w:name="Angsana New">
    <w:altName w:val="FreeSerif"/>
    <w:panose1 w:val="02020603050405020304"/>
    <w:charset w:val="DE"/>
    <w:family w:val="roman"/>
    <w:pitch w:val="default"/>
    <w:sig w:usb0="00000000" w:usb1="00000000" w:usb2="00000000" w:usb3="00000000" w:csb0="00010000" w:csb1="00000000"/>
  </w:font>
  <w:font w:name="Arial Unicode MS">
    <w:altName w:val="Nimbus Roman No9 L"/>
    <w:panose1 w:val="020B0604020202020204"/>
    <w:charset w:val="86"/>
    <w:family w:val="swiss"/>
    <w:pitch w:val="default"/>
    <w:sig w:usb0="00000000" w:usb1="00000000" w:usb2="0000007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Plotter">
    <w:altName w:val="永中仿宋"/>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新宋体">
    <w:altName w:val="方正书宋_GBK"/>
    <w:panose1 w:val="02010609030101010101"/>
    <w:charset w:val="86"/>
    <w:family w:val="modern"/>
    <w:pitch w:val="default"/>
    <w:sig w:usb0="00000000" w:usb1="00000000" w:usb2="00000016" w:usb3="00000000" w:csb0="00040001" w:csb1="00000000"/>
  </w:font>
  <w:font w:name="等线">
    <w:altName w:val="永中仿宋"/>
    <w:panose1 w:val="02010600030101010101"/>
    <w:charset w:val="86"/>
    <w:family w:val="auto"/>
    <w:pitch w:val="default"/>
    <w:sig w:usb0="00000000" w:usb1="00000000" w:usb2="00000016" w:usb3="00000000" w:csb0="0004000F" w:csb1="00000000"/>
  </w:font>
  <w:font w:name="华文中宋">
    <w:altName w:val="汉仪中宋简"/>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MS Gothic">
    <w:altName w:val="方正书宋_GBK"/>
    <w:panose1 w:val="020B0609070205080204"/>
    <w:charset w:val="80"/>
    <w:family w:val="modern"/>
    <w:pitch w:val="default"/>
    <w:sig w:usb0="00000000" w:usb1="00000000" w:usb2="08000012" w:usb3="00000000" w:csb0="0002009F" w:csb1="00000000"/>
  </w:font>
  <w:font w:name="Cambria Math">
    <w:altName w:val="DejaVu Math TeX Gyre"/>
    <w:panose1 w:val="02040503050406030204"/>
    <w:charset w:val="00"/>
    <w:family w:val="roman"/>
    <w:pitch w:val="default"/>
    <w:sig w:usb0="00000000" w:usb1="00000000" w:usb2="02000000"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 w:name="永中仿宋">
    <w:panose1 w:val="02010600030101010101"/>
    <w:charset w:val="86"/>
    <w:family w:val="auto"/>
    <w:pitch w:val="default"/>
    <w:sig w:usb0="00000001" w:usb1="080E0000" w:usb2="00000000" w:usb3="00000000" w:csb0="00040000" w:csb1="00000000"/>
  </w:font>
  <w:font w:name="Droid Sans Japanese">
    <w:panose1 w:val="020B0502000000000001"/>
    <w:charset w:val="00"/>
    <w:family w:val="auto"/>
    <w:pitch w:val="default"/>
    <w:sig w:usb0="80000000" w:usb1="0807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Pr>
    </w:pPr>
    <w:r>
      <w:rPr>
        <w:rStyle w:val="58"/>
      </w:rPr>
      <w:fldChar w:fldCharType="begin"/>
    </w:r>
    <w:r>
      <w:rPr>
        <w:rStyle w:val="58"/>
      </w:rPr>
      <w:instrText xml:space="preserve">PAGE  </w:instrText>
    </w:r>
    <w:r>
      <w:rPr>
        <w:rStyle w:val="58"/>
      </w:rPr>
      <w:fldChar w:fldCharType="end"/>
    </w:r>
  </w:p>
  <w:p>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30</w:t>
    </w:r>
    <w:r>
      <w:rPr>
        <w:rStyle w:val="58"/>
        <w:rFonts w:ascii="仿宋" w:hAnsi="仿宋" w:eastAsia="仿宋"/>
      </w:rPr>
      <w:fldChar w:fldCharType="end"/>
    </w:r>
  </w:p>
  <w:p>
    <w:pPr>
      <w:pStyle w:val="34"/>
      <w:pBdr>
        <w:top w:val="single" w:color="auto" w:sz="6" w:space="1"/>
      </w:pBd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78</w:t>
    </w:r>
    <w:r>
      <w:rPr>
        <w:rStyle w:val="58"/>
        <w:rFonts w:ascii="仿宋" w:hAnsi="仿宋" w:eastAsia="仿宋"/>
      </w:rPr>
      <w:fldChar w:fldCharType="end"/>
    </w:r>
  </w:p>
  <w:p>
    <w:pPr>
      <w:pStyle w:val="34"/>
      <w:pBdr>
        <w:top w:val="single" w:color="auto" w:sz="6" w:space="1"/>
      </w:pBdr>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79</w:t>
    </w:r>
    <w:r>
      <w:rPr>
        <w:rStyle w:val="58"/>
        <w:rFonts w:ascii="仿宋" w:hAnsi="仿宋" w:eastAsia="仿宋"/>
      </w:rPr>
      <w:fldChar w:fldCharType="end"/>
    </w:r>
  </w:p>
  <w:p>
    <w:pPr>
      <w:pStyle w:val="34"/>
      <w:pBdr>
        <w:top w:val="single" w:color="auto" w:sz="6" w:space="1"/>
      </w:pBdr>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80</w:t>
    </w:r>
    <w:r>
      <w:rPr>
        <w:rStyle w:val="58"/>
        <w:rFonts w:ascii="仿宋" w:hAnsi="仿宋" w:eastAsia="仿宋"/>
      </w:rPr>
      <w:fldChar w:fldCharType="end"/>
    </w:r>
  </w:p>
  <w:p>
    <w:pPr>
      <w:pStyle w:val="34"/>
      <w:pBdr>
        <w:top w:val="single" w:color="auto" w:sz="6" w:space="1"/>
      </w:pBdr>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bookmarkStart w:id="379" w:name="OLE_LINK57"/>
    <w:bookmarkStart w:id="380" w:name="OLE_LINK54"/>
    <w:bookmarkStart w:id="381" w:name="_Hlk188278811"/>
    <w:r>
      <w:rPr>
        <w:rFonts w:hint="eastAsia" w:ascii="宋体" w:hAnsi="宋体"/>
        <w:sz w:val="21"/>
        <w:szCs w:val="21"/>
        <w:lang w:bidi="zh-CN"/>
      </w:rPr>
      <w:t>调兵山市硅灰石井巷矿(硅灰石)</w:t>
    </w:r>
    <w:r>
      <w:rPr>
        <w:rFonts w:hint="eastAsia" w:ascii="宋体" w:hAnsi="宋体"/>
        <w:sz w:val="21"/>
        <w:szCs w:val="21"/>
      </w:rPr>
      <w:t>矿产资源开发利用方案</w:t>
    </w:r>
    <w:bookmarkEnd w:id="379"/>
    <w:bookmarkEnd w:id="380"/>
    <w:bookmarkEnd w:id="38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pStyle w:val="344"/>
      <w:suff w:val="nothing"/>
      <w:lvlText w:val="（%1）"/>
      <w:lvlJc w:val="left"/>
    </w:lvl>
  </w:abstractNum>
  <w:abstractNum w:abstractNumId="1">
    <w:nsid w:val="56246D1B"/>
    <w:multiLevelType w:val="multilevel"/>
    <w:tmpl w:val="56246D1B"/>
    <w:lvl w:ilvl="0" w:tentative="0">
      <w:start w:val="1"/>
      <w:numFmt w:val="decimal"/>
      <w:suff w:val="space"/>
      <w:lvlText w:val="%1)"/>
      <w:lvlJc w:val="left"/>
      <w:pPr>
        <w:ind w:left="0" w:firstLine="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2">
    <w:nsid w:val="67958940"/>
    <w:multiLevelType w:val="multilevel"/>
    <w:tmpl w:val="67958940"/>
    <w:lvl w:ilvl="0" w:tentative="0">
      <w:start w:val="1"/>
      <w:numFmt w:val="decimal"/>
      <w:suff w:val="space"/>
      <w:lvlText w:val="(%1)"/>
      <w:lvlJc w:val="left"/>
      <w:pPr>
        <w:ind w:left="0" w:firstLine="0"/>
      </w:pPr>
      <w:rPr>
        <w:rFonts w:hint="eastAsia" w:ascii="仿宋" w:hAnsi="仿宋" w:eastAsia="仿宋"/>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FBE5E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4"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4" w:semiHidden="0" w:name="heading 7"/>
    <w:lsdException w:qFormat="1" w:unhideWhenUsed="0" w:uiPriority="4" w:name="heading 8"/>
    <w:lsdException w:qFormat="1" w:unhideWhenUsed="0" w:uiPriority="4" w:semiHidden="0" w:name="heading 9"/>
    <w:lsdException w:qFormat="1" w:unhideWhenUsed="0" w:uiPriority="4"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4"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4" w:name="caption"/>
    <w:lsdException w:qFormat="1" w:unhideWhenUsed="0" w:uiPriority="4" w:semiHidden="0" w:name="table of figures"/>
    <w:lsdException w:unhideWhenUsed="0" w:uiPriority="0" w:semiHidden="0" w:name="envelope address"/>
    <w:lsdException w:unhideWhenUsed="0" w:uiPriority="0" w:semiHidden="0" w:name="envelope return"/>
    <w:lsdException w:qFormat="1" w:unhideWhenUsed="0" w:uiPriority="4"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4" w:semiHidden="0" w:name="table of authorities"/>
    <w:lsdException w:qFormat="1" w:unhideWhenUsed="0" w:uiPriority="0" w:semiHidden="0" w:name="macro"/>
    <w:lsdException w:qFormat="1" w:unhideWhenUsed="0" w:uiPriority="4" w:semiHidden="0" w:name="toa heading"/>
    <w:lsdException w:qFormat="1" w:unhideWhenUsed="0" w:uiPriority="0" w:semiHidden="0" w:name="List"/>
    <w:lsdException w:qFormat="1" w:unhideWhenUsed="0" w:uiPriority="4" w:semiHidden="0" w:name="List Bullet"/>
    <w:lsdException w:unhideWhenUsed="0" w:uiPriority="0" w:semiHidden="0" w:name="List Number"/>
    <w:lsdException w:unhideWhenUsed="0" w:uiPriority="0" w:semiHidden="0" w:name="List 2"/>
    <w:lsdException w:qFormat="1" w:unhideWhenUsed="0" w:uiPriority="4"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4" w:semiHidden="0" w:name="Subtitle"/>
    <w:lsdException w:unhideWhenUsed="0" w:uiPriority="0" w:semiHidden="0" w:name="Salutation"/>
    <w:lsdException w:qFormat="1" w:unhideWhenUsed="0" w:uiPriority="0" w:semiHidden="0" w:name="Date"/>
    <w:lsdException w:qFormat="1" w:unhideWhenUsed="0" w:uiPriority="4" w:semiHidden="0" w:name="Body Text First Indent"/>
    <w:lsdException w:qFormat="1" w:unhideWhenUsed="0" w:uiPriority="4" w:semiHidden="0" w:name="Body Text First Indent 2"/>
    <w:lsdException w:qFormat="1" w:unhideWhenUsed="0" w:uiPriority="0" w:semiHidden="0" w:name="Note Heading"/>
    <w:lsdException w:qFormat="1" w:unhideWhenUsed="0" w:uiPriority="4" w:semiHidden="0" w:name="Body Text 2"/>
    <w:lsdException w:qFormat="1" w:unhideWhenUsed="0" w:uiPriority="4" w:semiHidden="0" w:name="Body Text 3"/>
    <w:lsdException w:qFormat="1" w:unhideWhenUsed="0" w:uiPriority="0" w:semiHidden="0" w:name="Body Text Indent 2"/>
    <w:lsdException w:qFormat="1" w:unhideWhenUsed="0" w:uiPriority="0" w:semiHidden="0" w:name="Body Text Indent 3"/>
    <w:lsdException w:qFormat="1" w:unhideWhenUsed="0" w:uiPriority="4"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4"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4" w:semiHidden="0" w:name="HTML Code"/>
    <w:lsdException w:qFormat="1" w:unhideWhenUsed="0" w:uiPriority="4" w:semiHidden="0" w:name="HTML Definition"/>
    <w:lsdException w:qFormat="1" w:unhideWhenUsed="0" w:uiPriority="4" w:semiHidden="0" w:name="HTML Keyboard"/>
    <w:lsdException w:qFormat="1" w:unhideWhenUsed="0" w:uiPriority="4" w:semiHidden="0" w:name="HTML Preformatted"/>
    <w:lsdException w:qFormat="1" w:unhideWhenUsed="0" w:uiPriority="4"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9"/>
    <w:qFormat/>
    <w:uiPriority w:val="4"/>
    <w:pPr>
      <w:keepNext/>
      <w:keepLines/>
      <w:spacing w:before="340" w:after="330" w:line="576" w:lineRule="auto"/>
      <w:outlineLvl w:val="0"/>
    </w:pPr>
    <w:rPr>
      <w:rFonts w:ascii="黑体" w:eastAsia="黑体"/>
      <w:b/>
      <w:bCs/>
      <w:kern w:val="44"/>
      <w:sz w:val="32"/>
      <w:szCs w:val="44"/>
    </w:rPr>
  </w:style>
  <w:style w:type="paragraph" w:styleId="4">
    <w:name w:val="heading 2"/>
    <w:basedOn w:val="1"/>
    <w:next w:val="1"/>
    <w:link w:val="280"/>
    <w:qFormat/>
    <w:uiPriority w:val="0"/>
    <w:pPr>
      <w:keepNext/>
      <w:keepLines/>
      <w:spacing w:before="260" w:after="260" w:line="415" w:lineRule="auto"/>
      <w:outlineLvl w:val="1"/>
    </w:pPr>
    <w:rPr>
      <w:rFonts w:ascii="宋体"/>
      <w:b/>
      <w:bCs/>
      <w:sz w:val="30"/>
      <w:szCs w:val="32"/>
    </w:rPr>
  </w:style>
  <w:style w:type="paragraph" w:styleId="5">
    <w:name w:val="heading 3"/>
    <w:basedOn w:val="1"/>
    <w:next w:val="1"/>
    <w:link w:val="70"/>
    <w:qFormat/>
    <w:uiPriority w:val="0"/>
    <w:pPr>
      <w:keepNext/>
      <w:keepLines/>
      <w:spacing w:before="260" w:after="260" w:line="416" w:lineRule="auto"/>
      <w:outlineLvl w:val="2"/>
    </w:pPr>
    <w:rPr>
      <w:b/>
      <w:bCs/>
      <w:sz w:val="32"/>
      <w:szCs w:val="32"/>
    </w:rPr>
  </w:style>
  <w:style w:type="paragraph" w:styleId="6">
    <w:name w:val="heading 4"/>
    <w:basedOn w:val="5"/>
    <w:next w:val="5"/>
    <w:link w:val="71"/>
    <w:qFormat/>
    <w:uiPriority w:val="0"/>
    <w:pPr>
      <w:snapToGrid w:val="0"/>
      <w:spacing w:before="0" w:after="0" w:line="360" w:lineRule="auto"/>
      <w:jc w:val="left"/>
      <w:outlineLvl w:val="3"/>
    </w:pPr>
    <w:rPr>
      <w:rFonts w:hint="eastAsia" w:ascii="宋体"/>
      <w:sz w:val="28"/>
      <w:szCs w:val="28"/>
    </w:rPr>
  </w:style>
  <w:style w:type="paragraph" w:styleId="7">
    <w:name w:val="heading 5"/>
    <w:basedOn w:val="1"/>
    <w:next w:val="1"/>
    <w:link w:val="72"/>
    <w:qFormat/>
    <w:uiPriority w:val="0"/>
    <w:pPr>
      <w:kinsoku w:val="0"/>
      <w:overflowPunct w:val="0"/>
      <w:autoSpaceDE w:val="0"/>
      <w:autoSpaceDN w:val="0"/>
      <w:adjustRightInd w:val="0"/>
      <w:snapToGrid w:val="0"/>
      <w:spacing w:line="360" w:lineRule="auto"/>
      <w:jc w:val="left"/>
      <w:outlineLvl w:val="4"/>
    </w:pPr>
    <w:rPr>
      <w:rFonts w:ascii="宋体" w:hAnsi="宋体"/>
      <w:b/>
      <w:sz w:val="28"/>
      <w:szCs w:val="28"/>
    </w:rPr>
  </w:style>
  <w:style w:type="paragraph" w:styleId="8">
    <w:name w:val="heading 6"/>
    <w:basedOn w:val="1"/>
    <w:next w:val="1"/>
    <w:link w:val="73"/>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74"/>
    <w:qFormat/>
    <w:uiPriority w:val="4"/>
    <w:pPr>
      <w:keepNext/>
      <w:keepLines/>
      <w:spacing w:before="240" w:after="64" w:line="320" w:lineRule="auto"/>
      <w:outlineLvl w:val="6"/>
    </w:pPr>
    <w:rPr>
      <w:b/>
      <w:bCs/>
      <w:sz w:val="24"/>
    </w:rPr>
  </w:style>
  <w:style w:type="paragraph" w:styleId="10">
    <w:name w:val="heading 8"/>
    <w:basedOn w:val="1"/>
    <w:next w:val="1"/>
    <w:link w:val="273"/>
    <w:semiHidden/>
    <w:qFormat/>
    <w:uiPriority w:val="4"/>
    <w:pPr>
      <w:keepNext/>
      <w:keepLines/>
      <w:tabs>
        <w:tab w:val="left" w:pos="1440"/>
      </w:tabs>
      <w:spacing w:before="240" w:after="64" w:line="317" w:lineRule="auto"/>
      <w:ind w:left="1440" w:hanging="1440"/>
      <w:outlineLvl w:val="7"/>
    </w:pPr>
    <w:rPr>
      <w:rFonts w:ascii="Arial" w:hAnsi="Arial" w:eastAsia="黑体"/>
      <w:sz w:val="24"/>
      <w:szCs w:val="20"/>
    </w:rPr>
  </w:style>
  <w:style w:type="paragraph" w:styleId="11">
    <w:name w:val="heading 9"/>
    <w:basedOn w:val="1"/>
    <w:next w:val="1"/>
    <w:link w:val="75"/>
    <w:qFormat/>
    <w:uiPriority w:val="4"/>
    <w:pPr>
      <w:keepNext/>
      <w:keepLines/>
      <w:spacing w:before="240" w:after="64" w:line="320" w:lineRule="auto"/>
      <w:outlineLvl w:val="8"/>
    </w:pPr>
    <w:rPr>
      <w:rFonts w:ascii="Arial" w:hAnsi="Arial" w:eastAsia="黑体"/>
      <w:szCs w:val="21"/>
    </w:rPr>
  </w:style>
  <w:style w:type="character" w:default="1" w:styleId="56">
    <w:name w:val="Default Paragraph Font"/>
    <w:unhideWhenUsed/>
    <w:qFormat/>
    <w:uiPriority w:val="1"/>
  </w:style>
  <w:style w:type="table" w:default="1" w:styleId="54">
    <w:name w:val="Normal Table"/>
    <w:unhideWhenUsed/>
    <w:qFormat/>
    <w:uiPriority w:val="99"/>
    <w:tblPr>
      <w:tblCellMar>
        <w:top w:w="0" w:type="dxa"/>
        <w:left w:w="108" w:type="dxa"/>
        <w:bottom w:w="0" w:type="dxa"/>
        <w:right w:w="108" w:type="dxa"/>
      </w:tblCellMar>
    </w:tblPr>
  </w:style>
  <w:style w:type="paragraph" w:styleId="2">
    <w:name w:val="macro"/>
    <w:link w:val="19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4"/>
    <w:pPr>
      <w:adjustRightInd w:val="0"/>
      <w:snapToGrid w:val="0"/>
      <w:ind w:left="100" w:leftChars="400" w:hanging="200" w:hangingChars="200"/>
    </w:pPr>
    <w:rPr>
      <w:rFonts w:ascii="仿宋" w:hAnsi="仿宋" w:eastAsia="仿宋"/>
    </w:rPr>
  </w:style>
  <w:style w:type="paragraph" w:styleId="13">
    <w:name w:val="toc 7"/>
    <w:basedOn w:val="1"/>
    <w:next w:val="1"/>
    <w:qFormat/>
    <w:uiPriority w:val="39"/>
    <w:pPr>
      <w:ind w:left="2520" w:leftChars="1200"/>
    </w:pPr>
  </w:style>
  <w:style w:type="paragraph" w:styleId="14">
    <w:name w:val="table of authorities"/>
    <w:basedOn w:val="1"/>
    <w:next w:val="1"/>
    <w:qFormat/>
    <w:uiPriority w:val="4"/>
    <w:pPr>
      <w:adjustRightInd w:val="0"/>
      <w:snapToGrid w:val="0"/>
      <w:ind w:left="420" w:leftChars="200"/>
    </w:pPr>
    <w:rPr>
      <w:rFonts w:ascii="仿宋" w:hAnsi="仿宋" w:eastAsia="仿宋"/>
    </w:rPr>
  </w:style>
  <w:style w:type="paragraph" w:styleId="15">
    <w:name w:val="Note Heading"/>
    <w:basedOn w:val="1"/>
    <w:next w:val="1"/>
    <w:link w:val="101"/>
    <w:qFormat/>
    <w:uiPriority w:val="0"/>
    <w:pPr>
      <w:spacing w:before="240" w:after="120" w:line="440" w:lineRule="atLeast"/>
      <w:jc w:val="center"/>
    </w:pPr>
    <w:rPr>
      <w:rFonts w:ascii="宋体" w:hAnsi="宋体"/>
      <w:sz w:val="28"/>
      <w:szCs w:val="20"/>
    </w:rPr>
  </w:style>
  <w:style w:type="paragraph" w:styleId="16">
    <w:name w:val="Normal Indent"/>
    <w:basedOn w:val="1"/>
    <w:link w:val="100"/>
    <w:qFormat/>
    <w:uiPriority w:val="0"/>
    <w:pPr>
      <w:ind w:firstLine="420" w:firstLineChars="200"/>
    </w:pPr>
  </w:style>
  <w:style w:type="paragraph" w:styleId="17">
    <w:name w:val="caption"/>
    <w:basedOn w:val="1"/>
    <w:next w:val="1"/>
    <w:semiHidden/>
    <w:qFormat/>
    <w:uiPriority w:val="4"/>
    <w:pPr>
      <w:jc w:val="right"/>
    </w:pPr>
    <w:rPr>
      <w:sz w:val="28"/>
      <w:szCs w:val="20"/>
    </w:rPr>
  </w:style>
  <w:style w:type="paragraph" w:styleId="18">
    <w:name w:val="List Bullet"/>
    <w:basedOn w:val="1"/>
    <w:qFormat/>
    <w:uiPriority w:val="4"/>
    <w:pPr>
      <w:tabs>
        <w:tab w:val="left" w:pos="360"/>
      </w:tabs>
      <w:autoSpaceDE w:val="0"/>
      <w:autoSpaceDN w:val="0"/>
      <w:adjustRightInd w:val="0"/>
      <w:snapToGrid w:val="0"/>
      <w:spacing w:line="360" w:lineRule="auto"/>
      <w:ind w:left="360" w:hanging="360" w:hangingChars="200"/>
    </w:pPr>
    <w:rPr>
      <w:rFonts w:ascii="仿宋" w:hAnsi="仿宋" w:eastAsia="仿宋"/>
    </w:rPr>
  </w:style>
  <w:style w:type="paragraph" w:styleId="19">
    <w:name w:val="Document Map"/>
    <w:basedOn w:val="1"/>
    <w:link w:val="97"/>
    <w:qFormat/>
    <w:uiPriority w:val="0"/>
    <w:rPr>
      <w:rFonts w:ascii="宋体"/>
      <w:sz w:val="18"/>
      <w:szCs w:val="18"/>
    </w:rPr>
  </w:style>
  <w:style w:type="paragraph" w:styleId="20">
    <w:name w:val="toa heading"/>
    <w:basedOn w:val="1"/>
    <w:next w:val="1"/>
    <w:qFormat/>
    <w:uiPriority w:val="4"/>
    <w:pPr>
      <w:spacing w:before="120"/>
    </w:pPr>
    <w:rPr>
      <w:rFonts w:ascii="Arial" w:hAnsi="Arial" w:cs="Arial"/>
      <w:sz w:val="24"/>
    </w:rPr>
  </w:style>
  <w:style w:type="paragraph" w:styleId="21">
    <w:name w:val="annotation text"/>
    <w:basedOn w:val="1"/>
    <w:link w:val="167"/>
    <w:qFormat/>
    <w:uiPriority w:val="0"/>
    <w:pPr>
      <w:adjustRightInd w:val="0"/>
      <w:snapToGrid w:val="0"/>
      <w:spacing w:line="360" w:lineRule="auto"/>
      <w:ind w:firstLine="560" w:firstLineChars="200"/>
      <w:jc w:val="left"/>
    </w:pPr>
  </w:style>
  <w:style w:type="paragraph" w:styleId="22">
    <w:name w:val="Body Text 3"/>
    <w:basedOn w:val="1"/>
    <w:link w:val="274"/>
    <w:qFormat/>
    <w:uiPriority w:val="4"/>
    <w:pPr>
      <w:spacing w:after="120" w:line="360" w:lineRule="auto"/>
      <w:ind w:firstLine="720" w:firstLineChars="200"/>
    </w:pPr>
    <w:rPr>
      <w:sz w:val="16"/>
      <w:szCs w:val="16"/>
    </w:rPr>
  </w:style>
  <w:style w:type="paragraph" w:styleId="23">
    <w:name w:val="Body Text"/>
    <w:basedOn w:val="1"/>
    <w:link w:val="79"/>
    <w:qFormat/>
    <w:uiPriority w:val="0"/>
    <w:pPr>
      <w:spacing w:after="120"/>
    </w:pPr>
  </w:style>
  <w:style w:type="paragraph" w:styleId="24">
    <w:name w:val="Body Text Indent"/>
    <w:basedOn w:val="1"/>
    <w:link w:val="80"/>
    <w:qFormat/>
    <w:uiPriority w:val="0"/>
    <w:pPr>
      <w:spacing w:after="120"/>
      <w:ind w:left="420" w:leftChars="200"/>
    </w:pPr>
  </w:style>
  <w:style w:type="paragraph" w:styleId="25">
    <w:name w:val="Block Text"/>
    <w:basedOn w:val="1"/>
    <w:qFormat/>
    <w:uiPriority w:val="4"/>
    <w:pPr>
      <w:ind w:left="360" w:right="386" w:firstLine="540"/>
    </w:pPr>
    <w:rPr>
      <w:sz w:val="28"/>
      <w:szCs w:val="20"/>
    </w:rPr>
  </w:style>
  <w:style w:type="paragraph" w:styleId="26">
    <w:name w:val="index 4"/>
    <w:basedOn w:val="1"/>
    <w:next w:val="1"/>
    <w:qFormat/>
    <w:uiPriority w:val="0"/>
    <w:pPr>
      <w:ind w:left="600" w:leftChars="600"/>
    </w:pPr>
  </w:style>
  <w:style w:type="paragraph" w:styleId="27">
    <w:name w:val="toc 5"/>
    <w:basedOn w:val="1"/>
    <w:next w:val="1"/>
    <w:qFormat/>
    <w:uiPriority w:val="39"/>
    <w:pPr>
      <w:ind w:left="1680" w:leftChars="800"/>
    </w:pPr>
  </w:style>
  <w:style w:type="paragraph" w:styleId="28">
    <w:name w:val="toc 3"/>
    <w:basedOn w:val="1"/>
    <w:next w:val="1"/>
    <w:qFormat/>
    <w:uiPriority w:val="39"/>
    <w:pPr>
      <w:ind w:left="840" w:leftChars="400"/>
    </w:pPr>
  </w:style>
  <w:style w:type="paragraph" w:styleId="29">
    <w:name w:val="Plain Text"/>
    <w:basedOn w:val="1"/>
    <w:link w:val="81"/>
    <w:qFormat/>
    <w:uiPriority w:val="0"/>
    <w:rPr>
      <w:rFonts w:ascii="宋体" w:hAnsi="Courier New" w:cs="Courier New"/>
      <w:szCs w:val="21"/>
    </w:rPr>
  </w:style>
  <w:style w:type="paragraph" w:styleId="30">
    <w:name w:val="toc 8"/>
    <w:basedOn w:val="1"/>
    <w:next w:val="1"/>
    <w:qFormat/>
    <w:uiPriority w:val="39"/>
    <w:pPr>
      <w:ind w:left="2940" w:leftChars="1400"/>
    </w:pPr>
  </w:style>
  <w:style w:type="paragraph" w:styleId="31">
    <w:name w:val="Date"/>
    <w:basedOn w:val="1"/>
    <w:next w:val="1"/>
    <w:link w:val="78"/>
    <w:qFormat/>
    <w:uiPriority w:val="0"/>
    <w:pPr>
      <w:ind w:left="100" w:leftChars="2500"/>
    </w:pPr>
    <w:rPr>
      <w:rFonts w:eastAsia="仿宋_GB2312"/>
      <w:sz w:val="28"/>
    </w:rPr>
  </w:style>
  <w:style w:type="paragraph" w:styleId="32">
    <w:name w:val="Body Text Indent 2"/>
    <w:basedOn w:val="1"/>
    <w:link w:val="83"/>
    <w:qFormat/>
    <w:uiPriority w:val="0"/>
    <w:pPr>
      <w:ind w:firstLine="540"/>
    </w:pPr>
    <w:rPr>
      <w:color w:val="000000"/>
      <w:sz w:val="28"/>
      <w:szCs w:val="20"/>
    </w:rPr>
  </w:style>
  <w:style w:type="paragraph" w:styleId="33">
    <w:name w:val="Balloon Text"/>
    <w:basedOn w:val="1"/>
    <w:link w:val="84"/>
    <w:qFormat/>
    <w:uiPriority w:val="0"/>
    <w:rPr>
      <w:color w:val="FF00FF"/>
      <w:sz w:val="18"/>
      <w:szCs w:val="18"/>
    </w:rPr>
  </w:style>
  <w:style w:type="paragraph" w:styleId="34">
    <w:name w:val="footer"/>
    <w:basedOn w:val="1"/>
    <w:link w:val="76"/>
    <w:qFormat/>
    <w:uiPriority w:val="0"/>
    <w:pPr>
      <w:tabs>
        <w:tab w:val="center" w:pos="4153"/>
        <w:tab w:val="right" w:pos="8306"/>
      </w:tabs>
      <w:snapToGrid w:val="0"/>
      <w:jc w:val="left"/>
    </w:pPr>
    <w:rPr>
      <w:sz w:val="18"/>
      <w:szCs w:val="18"/>
    </w:rPr>
  </w:style>
  <w:style w:type="paragraph" w:styleId="35">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39"/>
    <w:pPr>
      <w:tabs>
        <w:tab w:val="right" w:leader="dot" w:pos="8385"/>
      </w:tabs>
      <w:snapToGrid w:val="0"/>
      <w:spacing w:line="360" w:lineRule="auto"/>
      <w:jc w:val="distribute"/>
    </w:pPr>
    <w:rPr>
      <w:rFonts w:asciiTheme="minorEastAsia" w:hAnsiTheme="minorEastAsia" w:eastAsiaTheme="minorEastAsia"/>
      <w:b/>
      <w:sz w:val="28"/>
      <w:szCs w:val="36"/>
    </w:rPr>
  </w:style>
  <w:style w:type="paragraph" w:styleId="37">
    <w:name w:val="toc 4"/>
    <w:basedOn w:val="1"/>
    <w:next w:val="1"/>
    <w:qFormat/>
    <w:uiPriority w:val="39"/>
    <w:pPr>
      <w:ind w:left="1260" w:leftChars="600"/>
    </w:pPr>
  </w:style>
  <w:style w:type="paragraph" w:styleId="38">
    <w:name w:val="Subtitle"/>
    <w:basedOn w:val="1"/>
    <w:next w:val="1"/>
    <w:link w:val="174"/>
    <w:qFormat/>
    <w:uiPriority w:val="4"/>
    <w:pPr>
      <w:spacing w:before="240" w:after="60" w:line="312" w:lineRule="auto"/>
      <w:jc w:val="center"/>
      <w:outlineLvl w:val="1"/>
    </w:pPr>
    <w:rPr>
      <w:rFonts w:ascii="Cambria" w:hAnsi="Cambria"/>
      <w:b/>
      <w:bCs/>
      <w:kern w:val="28"/>
      <w:sz w:val="32"/>
      <w:szCs w:val="32"/>
    </w:rPr>
  </w:style>
  <w:style w:type="paragraph" w:styleId="39">
    <w:name w:val="List"/>
    <w:basedOn w:val="1"/>
    <w:qFormat/>
    <w:uiPriority w:val="0"/>
    <w:pPr>
      <w:ind w:left="200" w:hanging="200" w:hangingChars="200"/>
    </w:pPr>
    <w:rPr>
      <w:rFonts w:ascii="宋体" w:hAnsi="宋体"/>
      <w:sz w:val="24"/>
    </w:rPr>
  </w:style>
  <w:style w:type="paragraph" w:styleId="40">
    <w:name w:val="footnote text"/>
    <w:basedOn w:val="1"/>
    <w:link w:val="309"/>
    <w:qFormat/>
    <w:uiPriority w:val="4"/>
    <w:pPr>
      <w:autoSpaceDE w:val="0"/>
      <w:autoSpaceDN w:val="0"/>
      <w:adjustRightInd w:val="0"/>
      <w:snapToGrid w:val="0"/>
      <w:spacing w:line="360" w:lineRule="auto"/>
      <w:ind w:firstLine="200" w:firstLineChars="200"/>
      <w:jc w:val="left"/>
    </w:pPr>
    <w:rPr>
      <w:rFonts w:ascii="仿宋" w:hAnsi="仿宋" w:eastAsia="仿宋"/>
      <w:sz w:val="18"/>
      <w:szCs w:val="18"/>
    </w:rPr>
  </w:style>
  <w:style w:type="paragraph" w:styleId="41">
    <w:name w:val="toc 6"/>
    <w:basedOn w:val="1"/>
    <w:next w:val="1"/>
    <w:qFormat/>
    <w:uiPriority w:val="39"/>
    <w:pPr>
      <w:ind w:left="2100" w:leftChars="1000"/>
    </w:pPr>
  </w:style>
  <w:style w:type="paragraph" w:styleId="42">
    <w:name w:val="Body Text Indent 3"/>
    <w:basedOn w:val="1"/>
    <w:link w:val="82"/>
    <w:qFormat/>
    <w:uiPriority w:val="0"/>
    <w:pPr>
      <w:spacing w:after="120"/>
      <w:ind w:left="420" w:leftChars="200"/>
    </w:pPr>
    <w:rPr>
      <w:sz w:val="16"/>
      <w:szCs w:val="16"/>
    </w:rPr>
  </w:style>
  <w:style w:type="paragraph" w:styleId="43">
    <w:name w:val="table of figures"/>
    <w:basedOn w:val="1"/>
    <w:next w:val="1"/>
    <w:qFormat/>
    <w:uiPriority w:val="4"/>
    <w:pPr>
      <w:autoSpaceDE w:val="0"/>
      <w:autoSpaceDN w:val="0"/>
      <w:adjustRightInd w:val="0"/>
      <w:snapToGrid w:val="0"/>
      <w:spacing w:line="360" w:lineRule="auto"/>
      <w:ind w:left="200" w:leftChars="200" w:hanging="200" w:hangingChars="200"/>
    </w:pPr>
    <w:rPr>
      <w:rFonts w:ascii="仿宋" w:hAnsi="仿宋" w:eastAsia="仿宋"/>
      <w:sz w:val="28"/>
      <w:szCs w:val="20"/>
    </w:rPr>
  </w:style>
  <w:style w:type="paragraph" w:styleId="44">
    <w:name w:val="toc 2"/>
    <w:basedOn w:val="1"/>
    <w:next w:val="1"/>
    <w:qFormat/>
    <w:uiPriority w:val="39"/>
    <w:pPr>
      <w:tabs>
        <w:tab w:val="right" w:leader="dot" w:pos="8371"/>
      </w:tabs>
      <w:snapToGrid w:val="0"/>
      <w:spacing w:line="360" w:lineRule="auto"/>
      <w:ind w:left="420" w:leftChars="200"/>
    </w:pPr>
    <w:rPr>
      <w:rFonts w:ascii="仿宋" w:eastAsia="仿宋"/>
      <w:sz w:val="28"/>
    </w:rPr>
  </w:style>
  <w:style w:type="paragraph" w:styleId="45">
    <w:name w:val="toc 9"/>
    <w:basedOn w:val="1"/>
    <w:next w:val="1"/>
    <w:qFormat/>
    <w:uiPriority w:val="39"/>
    <w:pPr>
      <w:ind w:left="3360" w:leftChars="1600"/>
    </w:pPr>
  </w:style>
  <w:style w:type="paragraph" w:styleId="46">
    <w:name w:val="Body Text 2"/>
    <w:basedOn w:val="1"/>
    <w:link w:val="145"/>
    <w:qFormat/>
    <w:uiPriority w:val="4"/>
    <w:pPr>
      <w:jc w:val="center"/>
    </w:pPr>
    <w:rPr>
      <w:rFonts w:ascii="宋体" w:hAnsi="宋体"/>
      <w:sz w:val="28"/>
    </w:rPr>
  </w:style>
  <w:style w:type="paragraph" w:styleId="47">
    <w:name w:val="HTML Preformatted"/>
    <w:basedOn w:val="1"/>
    <w:link w:val="310"/>
    <w:qFormat/>
    <w:uiPriority w:val="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Arial" w:hAnsi="Arial" w:eastAsia="仿宋" w:cs="Arial"/>
      <w:kern w:val="0"/>
      <w:sz w:val="24"/>
    </w:rPr>
  </w:style>
  <w:style w:type="paragraph" w:styleId="4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9">
    <w:name w:val="index 1"/>
    <w:basedOn w:val="1"/>
    <w:next w:val="1"/>
    <w:qFormat/>
    <w:uiPriority w:val="4"/>
    <w:pPr>
      <w:adjustRightInd w:val="0"/>
      <w:snapToGrid w:val="0"/>
    </w:pPr>
    <w:rPr>
      <w:rFonts w:ascii="仿宋" w:hAnsi="仿宋" w:eastAsia="仿宋"/>
    </w:rPr>
  </w:style>
  <w:style w:type="paragraph" w:styleId="50">
    <w:name w:val="Title"/>
    <w:basedOn w:val="1"/>
    <w:next w:val="1"/>
    <w:link w:val="178"/>
    <w:qFormat/>
    <w:uiPriority w:val="0"/>
    <w:pPr>
      <w:spacing w:before="240" w:after="60"/>
      <w:jc w:val="center"/>
      <w:outlineLvl w:val="0"/>
    </w:pPr>
    <w:rPr>
      <w:rFonts w:ascii="Cambria" w:hAnsi="Cambria"/>
      <w:b/>
      <w:bCs/>
      <w:sz w:val="32"/>
      <w:szCs w:val="32"/>
    </w:rPr>
  </w:style>
  <w:style w:type="paragraph" w:styleId="51">
    <w:name w:val="annotation subject"/>
    <w:basedOn w:val="21"/>
    <w:next w:val="21"/>
    <w:link w:val="175"/>
    <w:unhideWhenUsed/>
    <w:qFormat/>
    <w:uiPriority w:val="0"/>
    <w:pPr>
      <w:adjustRightInd/>
      <w:snapToGrid/>
      <w:spacing w:line="240" w:lineRule="auto"/>
      <w:ind w:firstLine="0" w:firstLineChars="0"/>
    </w:pPr>
    <w:rPr>
      <w:b/>
      <w:bCs/>
      <w:szCs w:val="22"/>
    </w:rPr>
  </w:style>
  <w:style w:type="paragraph" w:styleId="52">
    <w:name w:val="Body Text First Indent"/>
    <w:basedOn w:val="23"/>
    <w:link w:val="141"/>
    <w:qFormat/>
    <w:uiPriority w:val="4"/>
    <w:pPr>
      <w:ind w:firstLine="420" w:firstLineChars="100"/>
    </w:pPr>
  </w:style>
  <w:style w:type="paragraph" w:styleId="53">
    <w:name w:val="Body Text First Indent 2"/>
    <w:basedOn w:val="24"/>
    <w:link w:val="161"/>
    <w:qFormat/>
    <w:uiPriority w:val="4"/>
    <w:pPr>
      <w:ind w:firstLine="420" w:firstLineChars="200"/>
    </w:pPr>
  </w:style>
  <w:style w:type="table" w:styleId="55">
    <w:name w:val="Table Grid"/>
    <w:basedOn w:val="5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basedOn w:val="56"/>
    <w:qFormat/>
    <w:uiPriority w:val="0"/>
    <w:rPr>
      <w:b/>
      <w:bCs/>
    </w:rPr>
  </w:style>
  <w:style w:type="character" w:styleId="58">
    <w:name w:val="page number"/>
    <w:basedOn w:val="56"/>
    <w:qFormat/>
    <w:uiPriority w:val="0"/>
  </w:style>
  <w:style w:type="character" w:styleId="59">
    <w:name w:val="FollowedHyperlink"/>
    <w:basedOn w:val="56"/>
    <w:qFormat/>
    <w:uiPriority w:val="99"/>
    <w:rPr>
      <w:color w:val="800080"/>
      <w:u w:val="single"/>
    </w:rPr>
  </w:style>
  <w:style w:type="character" w:styleId="60">
    <w:name w:val="Emphasis"/>
    <w:basedOn w:val="56"/>
    <w:qFormat/>
    <w:uiPriority w:val="4"/>
    <w:rPr>
      <w:i/>
      <w:iCs/>
    </w:rPr>
  </w:style>
  <w:style w:type="character" w:styleId="61">
    <w:name w:val="line number"/>
    <w:qFormat/>
    <w:uiPriority w:val="0"/>
  </w:style>
  <w:style w:type="character" w:styleId="62">
    <w:name w:val="HTML Definition"/>
    <w:basedOn w:val="56"/>
    <w:qFormat/>
    <w:uiPriority w:val="4"/>
    <w:rPr>
      <w:i/>
    </w:rPr>
  </w:style>
  <w:style w:type="character" w:styleId="63">
    <w:name w:val="Hyperlink"/>
    <w:basedOn w:val="56"/>
    <w:qFormat/>
    <w:uiPriority w:val="99"/>
    <w:rPr>
      <w:color w:val="0000FF"/>
      <w:u w:val="single"/>
    </w:rPr>
  </w:style>
  <w:style w:type="character" w:styleId="64">
    <w:name w:val="HTML Code"/>
    <w:basedOn w:val="56"/>
    <w:qFormat/>
    <w:uiPriority w:val="4"/>
    <w:rPr>
      <w:rFonts w:hint="default" w:ascii="monospace" w:hAnsi="monospace" w:eastAsia="monospace" w:cs="monospace"/>
      <w:sz w:val="21"/>
      <w:szCs w:val="21"/>
    </w:rPr>
  </w:style>
  <w:style w:type="character" w:styleId="65">
    <w:name w:val="annotation reference"/>
    <w:qFormat/>
    <w:uiPriority w:val="0"/>
    <w:rPr>
      <w:sz w:val="21"/>
      <w:szCs w:val="21"/>
    </w:rPr>
  </w:style>
  <w:style w:type="character" w:styleId="66">
    <w:name w:val="footnote reference"/>
    <w:basedOn w:val="56"/>
    <w:qFormat/>
    <w:uiPriority w:val="4"/>
    <w:rPr>
      <w:vertAlign w:val="superscript"/>
    </w:rPr>
  </w:style>
  <w:style w:type="character" w:styleId="67">
    <w:name w:val="HTML Keyboard"/>
    <w:basedOn w:val="56"/>
    <w:qFormat/>
    <w:uiPriority w:val="4"/>
    <w:rPr>
      <w:rFonts w:hint="default" w:ascii="monospace" w:hAnsi="monospace" w:eastAsia="monospace" w:cs="monospace"/>
      <w:sz w:val="21"/>
      <w:szCs w:val="21"/>
    </w:rPr>
  </w:style>
  <w:style w:type="character" w:styleId="68">
    <w:name w:val="HTML Sample"/>
    <w:basedOn w:val="56"/>
    <w:qFormat/>
    <w:uiPriority w:val="4"/>
    <w:rPr>
      <w:rFonts w:ascii="monospace" w:hAnsi="monospace" w:eastAsia="monospace" w:cs="monospace"/>
      <w:sz w:val="21"/>
      <w:szCs w:val="21"/>
    </w:rPr>
  </w:style>
  <w:style w:type="character" w:customStyle="1" w:styleId="69">
    <w:name w:val="标题 1 Char"/>
    <w:basedOn w:val="56"/>
    <w:link w:val="3"/>
    <w:qFormat/>
    <w:uiPriority w:val="0"/>
    <w:rPr>
      <w:rFonts w:ascii="黑体" w:eastAsia="黑体"/>
      <w:b/>
      <w:bCs/>
      <w:kern w:val="44"/>
      <w:sz w:val="32"/>
      <w:szCs w:val="44"/>
    </w:rPr>
  </w:style>
  <w:style w:type="character" w:customStyle="1" w:styleId="70">
    <w:name w:val="标题 3 Char"/>
    <w:basedOn w:val="56"/>
    <w:link w:val="5"/>
    <w:qFormat/>
    <w:uiPriority w:val="0"/>
    <w:rPr>
      <w:b/>
      <w:bCs/>
      <w:kern w:val="2"/>
      <w:sz w:val="32"/>
      <w:szCs w:val="32"/>
    </w:rPr>
  </w:style>
  <w:style w:type="character" w:customStyle="1" w:styleId="71">
    <w:name w:val="标题 4 Char"/>
    <w:basedOn w:val="56"/>
    <w:link w:val="6"/>
    <w:qFormat/>
    <w:uiPriority w:val="0"/>
    <w:rPr>
      <w:rFonts w:ascii="宋体"/>
      <w:b/>
      <w:bCs/>
      <w:kern w:val="2"/>
      <w:sz w:val="28"/>
      <w:szCs w:val="28"/>
    </w:rPr>
  </w:style>
  <w:style w:type="character" w:customStyle="1" w:styleId="72">
    <w:name w:val="标题 5 Char"/>
    <w:basedOn w:val="56"/>
    <w:link w:val="7"/>
    <w:qFormat/>
    <w:uiPriority w:val="0"/>
    <w:rPr>
      <w:rFonts w:ascii="宋体" w:hAnsi="宋体"/>
      <w:b/>
      <w:kern w:val="2"/>
      <w:sz w:val="28"/>
      <w:szCs w:val="28"/>
    </w:rPr>
  </w:style>
  <w:style w:type="character" w:customStyle="1" w:styleId="73">
    <w:name w:val="标题 6 Char"/>
    <w:basedOn w:val="56"/>
    <w:link w:val="8"/>
    <w:qFormat/>
    <w:uiPriority w:val="0"/>
    <w:rPr>
      <w:rFonts w:ascii="Arial" w:hAnsi="Arial" w:eastAsia="黑体"/>
      <w:b/>
      <w:bCs/>
      <w:kern w:val="2"/>
      <w:sz w:val="24"/>
      <w:szCs w:val="24"/>
    </w:rPr>
  </w:style>
  <w:style w:type="character" w:customStyle="1" w:styleId="74">
    <w:name w:val="标题 7 Char"/>
    <w:basedOn w:val="56"/>
    <w:link w:val="9"/>
    <w:qFormat/>
    <w:uiPriority w:val="4"/>
    <w:rPr>
      <w:b/>
      <w:bCs/>
      <w:kern w:val="2"/>
      <w:sz w:val="24"/>
      <w:szCs w:val="24"/>
    </w:rPr>
  </w:style>
  <w:style w:type="character" w:customStyle="1" w:styleId="75">
    <w:name w:val="标题 9 Char"/>
    <w:basedOn w:val="56"/>
    <w:link w:val="11"/>
    <w:qFormat/>
    <w:uiPriority w:val="4"/>
    <w:rPr>
      <w:rFonts w:ascii="Arial" w:hAnsi="Arial" w:eastAsia="黑体"/>
      <w:kern w:val="2"/>
      <w:sz w:val="21"/>
      <w:szCs w:val="21"/>
    </w:rPr>
  </w:style>
  <w:style w:type="character" w:customStyle="1" w:styleId="76">
    <w:name w:val="页脚 Char"/>
    <w:link w:val="34"/>
    <w:qFormat/>
    <w:uiPriority w:val="99"/>
    <w:rPr>
      <w:kern w:val="2"/>
      <w:sz w:val="18"/>
      <w:szCs w:val="18"/>
    </w:rPr>
  </w:style>
  <w:style w:type="character" w:customStyle="1" w:styleId="77">
    <w:name w:val="页眉 Char"/>
    <w:basedOn w:val="56"/>
    <w:link w:val="35"/>
    <w:qFormat/>
    <w:uiPriority w:val="0"/>
    <w:rPr>
      <w:kern w:val="2"/>
      <w:sz w:val="18"/>
      <w:szCs w:val="18"/>
    </w:rPr>
  </w:style>
  <w:style w:type="character" w:customStyle="1" w:styleId="78">
    <w:name w:val="日期 Char"/>
    <w:basedOn w:val="56"/>
    <w:link w:val="31"/>
    <w:qFormat/>
    <w:uiPriority w:val="0"/>
    <w:rPr>
      <w:rFonts w:eastAsia="仿宋_GB2312"/>
      <w:kern w:val="2"/>
      <w:sz w:val="28"/>
      <w:szCs w:val="24"/>
    </w:rPr>
  </w:style>
  <w:style w:type="character" w:customStyle="1" w:styleId="79">
    <w:name w:val="正文文本 Char"/>
    <w:basedOn w:val="56"/>
    <w:link w:val="23"/>
    <w:qFormat/>
    <w:uiPriority w:val="0"/>
    <w:rPr>
      <w:kern w:val="2"/>
      <w:sz w:val="21"/>
      <w:szCs w:val="24"/>
    </w:rPr>
  </w:style>
  <w:style w:type="character" w:customStyle="1" w:styleId="80">
    <w:name w:val="正文文本缩进 Char"/>
    <w:basedOn w:val="56"/>
    <w:link w:val="24"/>
    <w:qFormat/>
    <w:uiPriority w:val="0"/>
    <w:rPr>
      <w:kern w:val="2"/>
      <w:sz w:val="21"/>
      <w:szCs w:val="24"/>
    </w:rPr>
  </w:style>
  <w:style w:type="character" w:customStyle="1" w:styleId="81">
    <w:name w:val="纯文本 Char"/>
    <w:link w:val="29"/>
    <w:qFormat/>
    <w:uiPriority w:val="0"/>
    <w:rPr>
      <w:rFonts w:ascii="宋体" w:hAnsi="Courier New" w:cs="Courier New"/>
      <w:kern w:val="2"/>
      <w:sz w:val="21"/>
      <w:szCs w:val="21"/>
    </w:rPr>
  </w:style>
  <w:style w:type="character" w:customStyle="1" w:styleId="82">
    <w:name w:val="正文文本缩进 3 Char"/>
    <w:basedOn w:val="56"/>
    <w:link w:val="42"/>
    <w:qFormat/>
    <w:uiPriority w:val="4"/>
    <w:rPr>
      <w:kern w:val="2"/>
      <w:sz w:val="16"/>
      <w:szCs w:val="16"/>
    </w:rPr>
  </w:style>
  <w:style w:type="character" w:customStyle="1" w:styleId="83">
    <w:name w:val="正文文本缩进 2 Char"/>
    <w:basedOn w:val="56"/>
    <w:link w:val="32"/>
    <w:qFormat/>
    <w:uiPriority w:val="0"/>
    <w:rPr>
      <w:color w:val="000000"/>
      <w:kern w:val="2"/>
      <w:sz w:val="28"/>
    </w:rPr>
  </w:style>
  <w:style w:type="character" w:customStyle="1" w:styleId="84">
    <w:name w:val="批注框文本 Char"/>
    <w:basedOn w:val="56"/>
    <w:link w:val="33"/>
    <w:qFormat/>
    <w:uiPriority w:val="0"/>
    <w:rPr>
      <w:color w:val="FF00FF"/>
      <w:kern w:val="2"/>
      <w:sz w:val="18"/>
      <w:szCs w:val="18"/>
    </w:rPr>
  </w:style>
  <w:style w:type="character" w:customStyle="1" w:styleId="85">
    <w:name w:val="标题 2 Char"/>
    <w:basedOn w:val="56"/>
    <w:qFormat/>
    <w:uiPriority w:val="0"/>
    <w:rPr>
      <w:rFonts w:eastAsia="仿宋_GB2312"/>
      <w:b/>
      <w:bCs/>
      <w:kern w:val="2"/>
      <w:sz w:val="30"/>
      <w:szCs w:val="32"/>
      <w:lang w:val="en-US" w:eastAsia="zh-CN" w:bidi="ar-SA"/>
    </w:rPr>
  </w:style>
  <w:style w:type="character" w:customStyle="1" w:styleId="86">
    <w:name w:val="链接"/>
    <w:basedOn w:val="56"/>
    <w:qFormat/>
    <w:uiPriority w:val="0"/>
    <w:rPr>
      <w:rFonts w:ascii="Times New Roman" w:eastAsia="宋体"/>
      <w:color w:val="0000FF"/>
      <w:sz w:val="21"/>
      <w:u w:val="single" w:color="0000FF"/>
      <w:vertAlign w:val="baseline"/>
      <w:lang w:val="en-US" w:eastAsia="zh-CN"/>
    </w:rPr>
  </w:style>
  <w:style w:type="paragraph" w:customStyle="1" w:styleId="87">
    <w:name w:val="目录2"/>
    <w:basedOn w:val="1"/>
    <w:qFormat/>
    <w:uiPriority w:val="0"/>
    <w:pPr>
      <w:widowControl/>
      <w:tabs>
        <w:tab w:val="left" w:leader="dot" w:pos="7370"/>
      </w:tabs>
      <w:spacing w:line="317" w:lineRule="atLeast"/>
      <w:ind w:firstLine="209"/>
      <w:textAlignment w:val="baseline"/>
    </w:pPr>
    <w:rPr>
      <w:color w:val="000000"/>
      <w:kern w:val="0"/>
      <w:szCs w:val="20"/>
      <w:u w:color="000000"/>
    </w:rPr>
  </w:style>
  <w:style w:type="paragraph" w:customStyle="1" w:styleId="88">
    <w:name w:val="目录3"/>
    <w:basedOn w:val="1"/>
    <w:qFormat/>
    <w:uiPriority w:val="0"/>
    <w:pPr>
      <w:widowControl/>
      <w:tabs>
        <w:tab w:val="left" w:leader="dot" w:pos="7370"/>
      </w:tabs>
      <w:spacing w:line="317" w:lineRule="atLeast"/>
      <w:ind w:firstLine="419"/>
      <w:textAlignment w:val="baseline"/>
    </w:pPr>
    <w:rPr>
      <w:color w:val="000000"/>
      <w:kern w:val="0"/>
      <w:szCs w:val="20"/>
      <w:u w:color="000000"/>
    </w:rPr>
  </w:style>
  <w:style w:type="paragraph" w:customStyle="1" w:styleId="89">
    <w:name w:val="目录4"/>
    <w:basedOn w:val="1"/>
    <w:qFormat/>
    <w:uiPriority w:val="0"/>
    <w:pPr>
      <w:widowControl/>
      <w:tabs>
        <w:tab w:val="left" w:leader="dot" w:pos="7370"/>
      </w:tabs>
      <w:spacing w:line="317" w:lineRule="atLeast"/>
      <w:ind w:firstLine="629"/>
      <w:textAlignment w:val="baseline"/>
    </w:pPr>
    <w:rPr>
      <w:color w:val="000000"/>
      <w:kern w:val="0"/>
      <w:szCs w:val="20"/>
      <w:u w:color="000000"/>
    </w:rPr>
  </w:style>
  <w:style w:type="paragraph" w:customStyle="1" w:styleId="90">
    <w:name w:val="目录1"/>
    <w:basedOn w:val="1"/>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91">
    <w:name w:val="目录标题"/>
    <w:basedOn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92">
    <w:name w:val="文章总标题"/>
    <w:basedOn w:val="1"/>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93">
    <w:name w:val="文章附标题"/>
    <w:basedOn w:val="1"/>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94">
    <w:name w:val="小节标题"/>
    <w:basedOn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95">
    <w:name w:val="章标题"/>
    <w:basedOn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96">
    <w:name w:val="节标题"/>
    <w:basedOn w:val="1"/>
    <w:qFormat/>
    <w:uiPriority w:val="0"/>
    <w:pPr>
      <w:widowControl/>
      <w:spacing w:line="289" w:lineRule="atLeast"/>
      <w:jc w:val="center"/>
      <w:textAlignment w:val="baseline"/>
    </w:pPr>
    <w:rPr>
      <w:color w:val="000000"/>
      <w:kern w:val="0"/>
      <w:sz w:val="28"/>
      <w:szCs w:val="20"/>
      <w:u w:color="000000"/>
    </w:rPr>
  </w:style>
  <w:style w:type="character" w:customStyle="1" w:styleId="97">
    <w:name w:val="文档结构图 Char"/>
    <w:basedOn w:val="56"/>
    <w:link w:val="19"/>
    <w:qFormat/>
    <w:uiPriority w:val="0"/>
    <w:rPr>
      <w:rFonts w:ascii="宋体"/>
      <w:kern w:val="2"/>
      <w:sz w:val="18"/>
      <w:szCs w:val="18"/>
    </w:rPr>
  </w:style>
  <w:style w:type="paragraph" w:customStyle="1" w:styleId="98">
    <w:name w:val="7"/>
    <w:basedOn w:val="1"/>
    <w:link w:val="99"/>
    <w:qFormat/>
    <w:uiPriority w:val="0"/>
    <w:pPr>
      <w:autoSpaceDE w:val="0"/>
      <w:autoSpaceDN w:val="0"/>
      <w:adjustRightInd w:val="0"/>
      <w:snapToGrid w:val="0"/>
      <w:spacing w:line="360" w:lineRule="auto"/>
      <w:ind w:firstLine="200" w:firstLineChars="200"/>
      <w:textAlignment w:val="baseline"/>
    </w:pPr>
    <w:rPr>
      <w:rFonts w:ascii="宋体"/>
      <w:sz w:val="28"/>
      <w:szCs w:val="28"/>
    </w:rPr>
  </w:style>
  <w:style w:type="character" w:customStyle="1" w:styleId="99">
    <w:name w:val="7 Char"/>
    <w:basedOn w:val="56"/>
    <w:link w:val="98"/>
    <w:qFormat/>
    <w:uiPriority w:val="0"/>
    <w:rPr>
      <w:rFonts w:ascii="宋体"/>
      <w:kern w:val="2"/>
      <w:sz w:val="28"/>
      <w:szCs w:val="28"/>
    </w:rPr>
  </w:style>
  <w:style w:type="character" w:customStyle="1" w:styleId="100">
    <w:name w:val="正文缩进 Char"/>
    <w:basedOn w:val="56"/>
    <w:link w:val="16"/>
    <w:qFormat/>
    <w:uiPriority w:val="0"/>
    <w:rPr>
      <w:kern w:val="2"/>
      <w:sz w:val="21"/>
      <w:szCs w:val="24"/>
    </w:rPr>
  </w:style>
  <w:style w:type="character" w:customStyle="1" w:styleId="101">
    <w:name w:val="注释标题 Char"/>
    <w:basedOn w:val="56"/>
    <w:link w:val="15"/>
    <w:qFormat/>
    <w:uiPriority w:val="0"/>
    <w:rPr>
      <w:rFonts w:ascii="宋体" w:hAnsi="宋体"/>
      <w:kern w:val="2"/>
      <w:sz w:val="28"/>
    </w:rPr>
  </w:style>
  <w:style w:type="paragraph" w:customStyle="1" w:styleId="10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3">
    <w:name w:val="xl24"/>
    <w:basedOn w:val="1"/>
    <w:qFormat/>
    <w:uiPriority w:val="4"/>
    <w:pPr>
      <w:widowControl/>
      <w:spacing w:before="100" w:beforeAutospacing="1" w:after="100" w:afterAutospacing="1"/>
      <w:jc w:val="center"/>
    </w:pPr>
    <w:rPr>
      <w:rFonts w:ascii="宋体" w:hAnsi="宋体"/>
      <w:kern w:val="0"/>
      <w:sz w:val="24"/>
    </w:rPr>
  </w:style>
  <w:style w:type="paragraph" w:customStyle="1" w:styleId="104">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6">
    <w:name w:val="font6"/>
    <w:basedOn w:val="1"/>
    <w:qFormat/>
    <w:uiPriority w:val="0"/>
    <w:pPr>
      <w:widowControl/>
      <w:spacing w:before="100" w:beforeAutospacing="1" w:after="100" w:afterAutospacing="1"/>
      <w:jc w:val="left"/>
    </w:pPr>
    <w:rPr>
      <w:kern w:val="0"/>
      <w:sz w:val="24"/>
    </w:rPr>
  </w:style>
  <w:style w:type="paragraph" w:customStyle="1" w:styleId="107">
    <w:name w:val="font7"/>
    <w:basedOn w:val="1"/>
    <w:qFormat/>
    <w:uiPriority w:val="4"/>
    <w:pPr>
      <w:widowControl/>
      <w:spacing w:before="100" w:beforeAutospacing="1" w:after="100" w:afterAutospacing="1"/>
      <w:jc w:val="left"/>
    </w:pPr>
    <w:rPr>
      <w:kern w:val="0"/>
      <w:sz w:val="24"/>
    </w:rPr>
  </w:style>
  <w:style w:type="paragraph" w:customStyle="1" w:styleId="108">
    <w:name w:val="font8"/>
    <w:basedOn w:val="1"/>
    <w:qFormat/>
    <w:uiPriority w:val="4"/>
    <w:pPr>
      <w:widowControl/>
      <w:spacing w:before="100" w:beforeAutospacing="1" w:after="100" w:afterAutospacing="1"/>
      <w:jc w:val="left"/>
    </w:pPr>
    <w:rPr>
      <w:rFonts w:hint="eastAsia" w:ascii="宋体" w:hAnsi="宋体"/>
      <w:kern w:val="0"/>
      <w:sz w:val="20"/>
      <w:szCs w:val="20"/>
    </w:rPr>
  </w:style>
  <w:style w:type="paragraph" w:customStyle="1" w:styleId="109">
    <w:name w:val="font9"/>
    <w:basedOn w:val="1"/>
    <w:qFormat/>
    <w:uiPriority w:val="4"/>
    <w:pPr>
      <w:widowControl/>
      <w:spacing w:before="100" w:beforeAutospacing="1" w:after="100" w:afterAutospacing="1"/>
      <w:jc w:val="left"/>
    </w:pPr>
    <w:rPr>
      <w:kern w:val="0"/>
      <w:sz w:val="20"/>
      <w:szCs w:val="20"/>
    </w:rPr>
  </w:style>
  <w:style w:type="paragraph" w:customStyle="1" w:styleId="1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1">
    <w:name w:val="xl26"/>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
    <w:name w:val="xl28"/>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3">
    <w:name w:val="xl29"/>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4">
    <w:name w:val="xl30"/>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15">
    <w:name w:val="xl31"/>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6">
    <w:name w:val="xl32"/>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1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8">
    <w:name w:val="xl34"/>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9">
    <w:name w:val="xl35"/>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0">
    <w:name w:val="xl36"/>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21">
    <w:name w:val="xl37"/>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22">
    <w:name w:val="xl38"/>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3">
    <w:name w:val="xl39"/>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4">
    <w:name w:val="xl40"/>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25">
    <w:name w:val="xl41"/>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6">
    <w:name w:val="xl42"/>
    <w:basedOn w:val="1"/>
    <w:qFormat/>
    <w:uiPriority w:val="4"/>
    <w:pPr>
      <w:widowControl/>
      <w:spacing w:before="100" w:beforeAutospacing="1" w:after="100" w:afterAutospacing="1"/>
      <w:jc w:val="center"/>
    </w:pPr>
    <w:rPr>
      <w:rFonts w:ascii="宋体" w:hAnsi="宋体"/>
      <w:b/>
      <w:bCs/>
      <w:kern w:val="0"/>
      <w:sz w:val="32"/>
      <w:szCs w:val="32"/>
    </w:rPr>
  </w:style>
  <w:style w:type="paragraph" w:customStyle="1" w:styleId="127">
    <w:name w:val="xl43"/>
    <w:basedOn w:val="1"/>
    <w:qFormat/>
    <w:uiPriority w:val="4"/>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128">
    <w:name w:val="xl44"/>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9">
    <w:name w:val="xl27"/>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3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xl45"/>
    <w:basedOn w:val="1"/>
    <w:qFormat/>
    <w:uiPriority w:val="4"/>
    <w:pPr>
      <w:widowControl/>
      <w:spacing w:before="100" w:beforeAutospacing="1" w:after="100" w:afterAutospacing="1"/>
      <w:jc w:val="center"/>
    </w:pPr>
    <w:rPr>
      <w:rFonts w:ascii="宋体" w:hAnsi="宋体"/>
      <w:kern w:val="0"/>
      <w:sz w:val="20"/>
      <w:szCs w:val="20"/>
    </w:rPr>
  </w:style>
  <w:style w:type="paragraph" w:customStyle="1" w:styleId="132">
    <w:name w:val="xl46"/>
    <w:basedOn w:val="1"/>
    <w:qFormat/>
    <w:uiPriority w:val="4"/>
    <w:pPr>
      <w:widowControl/>
      <w:spacing w:before="100" w:beforeAutospacing="1" w:after="100" w:afterAutospacing="1"/>
      <w:jc w:val="center"/>
    </w:pPr>
    <w:rPr>
      <w:rFonts w:ascii="宋体" w:hAnsi="宋体"/>
      <w:kern w:val="0"/>
      <w:sz w:val="24"/>
    </w:rPr>
  </w:style>
  <w:style w:type="paragraph" w:customStyle="1" w:styleId="133">
    <w:name w:val="xl47"/>
    <w:basedOn w:val="1"/>
    <w:qFormat/>
    <w:uiPriority w:val="0"/>
    <w:pPr>
      <w:widowControl/>
      <w:spacing w:before="100" w:beforeAutospacing="1" w:after="100" w:afterAutospacing="1"/>
      <w:jc w:val="center"/>
    </w:pPr>
    <w:rPr>
      <w:rFonts w:ascii="宋体" w:hAnsi="宋体"/>
      <w:kern w:val="0"/>
      <w:sz w:val="20"/>
      <w:szCs w:val="20"/>
    </w:rPr>
  </w:style>
  <w:style w:type="paragraph" w:customStyle="1" w:styleId="134">
    <w:name w:val="-14正文2"/>
    <w:basedOn w:val="1"/>
    <w:link w:val="135"/>
    <w:qFormat/>
    <w:uiPriority w:val="0"/>
    <w:pPr>
      <w:wordWrap w:val="0"/>
      <w:topLinePunct/>
      <w:ind w:firstLine="200" w:firstLineChars="200"/>
      <w:textAlignment w:val="center"/>
    </w:pPr>
    <w:rPr>
      <w:rFonts w:ascii="宋体" w:cs="宋体"/>
      <w:color w:val="000000"/>
      <w:sz w:val="24"/>
      <w:szCs w:val="20"/>
    </w:rPr>
  </w:style>
  <w:style w:type="character" w:customStyle="1" w:styleId="135">
    <w:name w:val="-14正文2 Char"/>
    <w:basedOn w:val="56"/>
    <w:link w:val="134"/>
    <w:qFormat/>
    <w:uiPriority w:val="0"/>
    <w:rPr>
      <w:rFonts w:ascii="宋体" w:cs="宋体"/>
      <w:color w:val="000000"/>
      <w:kern w:val="2"/>
      <w:sz w:val="24"/>
    </w:rPr>
  </w:style>
  <w:style w:type="paragraph" w:customStyle="1" w:styleId="136">
    <w:name w:val="3号宋体正文"/>
    <w:basedOn w:val="1"/>
    <w:qFormat/>
    <w:uiPriority w:val="4"/>
    <w:pPr>
      <w:spacing w:line="360" w:lineRule="auto"/>
      <w:ind w:firstLine="624"/>
    </w:pPr>
    <w:rPr>
      <w:rFonts w:ascii="宋体" w:hAnsi="Courier New" w:cs="Courier New"/>
      <w:sz w:val="30"/>
      <w:szCs w:val="21"/>
    </w:rPr>
  </w:style>
  <w:style w:type="paragraph" w:customStyle="1" w:styleId="137">
    <w:name w:val="Char Char Char Char"/>
    <w:basedOn w:val="1"/>
    <w:qFormat/>
    <w:uiPriority w:val="0"/>
  </w:style>
  <w:style w:type="paragraph" w:customStyle="1" w:styleId="138">
    <w:name w:val="样式 标题 1 + 居中"/>
    <w:basedOn w:val="3"/>
    <w:qFormat/>
    <w:uiPriority w:val="0"/>
    <w:pPr>
      <w:snapToGrid w:val="0"/>
      <w:spacing w:before="0" w:after="0" w:line="240" w:lineRule="auto"/>
    </w:pPr>
    <w:rPr>
      <w:rFonts w:cs="宋体"/>
      <w:b w:val="0"/>
      <w:kern w:val="0"/>
      <w:sz w:val="28"/>
      <w:szCs w:val="28"/>
    </w:rPr>
  </w:style>
  <w:style w:type="paragraph" w:customStyle="1" w:styleId="139">
    <w:name w:val="样式1"/>
    <w:basedOn w:val="1"/>
    <w:link w:val="140"/>
    <w:qFormat/>
    <w:uiPriority w:val="0"/>
    <w:pPr>
      <w:spacing w:line="440" w:lineRule="exact"/>
      <w:ind w:firstLine="480" w:firstLineChars="200"/>
    </w:pPr>
    <w:rPr>
      <w:sz w:val="24"/>
    </w:rPr>
  </w:style>
  <w:style w:type="character" w:customStyle="1" w:styleId="140">
    <w:name w:val="样式1 Char"/>
    <w:basedOn w:val="141"/>
    <w:link w:val="139"/>
    <w:qFormat/>
    <w:uiPriority w:val="0"/>
    <w:rPr>
      <w:kern w:val="2"/>
      <w:sz w:val="24"/>
      <w:szCs w:val="24"/>
    </w:rPr>
  </w:style>
  <w:style w:type="character" w:customStyle="1" w:styleId="141">
    <w:name w:val="正文首行缩进 Char"/>
    <w:basedOn w:val="79"/>
    <w:link w:val="52"/>
    <w:qFormat/>
    <w:uiPriority w:val="0"/>
    <w:rPr>
      <w:kern w:val="2"/>
      <w:sz w:val="21"/>
      <w:szCs w:val="24"/>
    </w:rPr>
  </w:style>
  <w:style w:type="paragraph" w:customStyle="1" w:styleId="142">
    <w:name w:val="Char Char1"/>
    <w:basedOn w:val="1"/>
    <w:qFormat/>
    <w:uiPriority w:val="0"/>
    <w:rPr>
      <w:sz w:val="24"/>
    </w:rPr>
  </w:style>
  <w:style w:type="paragraph" w:customStyle="1" w:styleId="143">
    <w:name w:val="正文文字缩进 3"/>
    <w:basedOn w:val="1"/>
    <w:next w:val="1"/>
    <w:qFormat/>
    <w:uiPriority w:val="4"/>
    <w:pPr>
      <w:widowControl/>
      <w:spacing w:line="500" w:lineRule="exact"/>
      <w:ind w:firstLine="560"/>
    </w:pPr>
    <w:rPr>
      <w:rFonts w:ascii="宋体"/>
      <w:color w:val="000000"/>
      <w:sz w:val="28"/>
      <w:szCs w:val="20"/>
    </w:rPr>
  </w:style>
  <w:style w:type="paragraph" w:customStyle="1" w:styleId="144">
    <w:name w:val="段"/>
    <w:basedOn w:val="1"/>
    <w:qFormat/>
    <w:uiPriority w:val="4"/>
    <w:rPr>
      <w:sz w:val="24"/>
    </w:rPr>
  </w:style>
  <w:style w:type="character" w:customStyle="1" w:styleId="145">
    <w:name w:val="正文文本 2 Char"/>
    <w:basedOn w:val="56"/>
    <w:link w:val="46"/>
    <w:qFormat/>
    <w:uiPriority w:val="4"/>
    <w:rPr>
      <w:rFonts w:ascii="宋体" w:hAnsi="宋体"/>
      <w:kern w:val="2"/>
      <w:sz w:val="28"/>
      <w:szCs w:val="24"/>
    </w:rPr>
  </w:style>
  <w:style w:type="paragraph" w:customStyle="1" w:styleId="146">
    <w:name w:val="报告正文小四"/>
    <w:basedOn w:val="1"/>
    <w:qFormat/>
    <w:uiPriority w:val="0"/>
    <w:pPr>
      <w:adjustRightInd w:val="0"/>
      <w:snapToGrid w:val="0"/>
      <w:spacing w:before="120" w:line="420" w:lineRule="atLeast"/>
      <w:ind w:firstLine="510"/>
    </w:pPr>
    <w:rPr>
      <w:sz w:val="24"/>
      <w:szCs w:val="20"/>
    </w:rPr>
  </w:style>
  <w:style w:type="paragraph" w:customStyle="1" w:styleId="147">
    <w:name w:val="默认段落字体 Para Char Char Char Char"/>
    <w:basedOn w:val="1"/>
    <w:qFormat/>
    <w:uiPriority w:val="0"/>
  </w:style>
  <w:style w:type="paragraph" w:customStyle="1" w:styleId="148">
    <w:name w:val="2"/>
    <w:basedOn w:val="1"/>
    <w:next w:val="23"/>
    <w:qFormat/>
    <w:uiPriority w:val="0"/>
    <w:rPr>
      <w:rFonts w:ascii="仿宋_GB2312" w:hAnsi="宋体" w:eastAsia="仿宋_GB2312"/>
      <w:sz w:val="28"/>
    </w:rPr>
  </w:style>
  <w:style w:type="paragraph" w:customStyle="1" w:styleId="149">
    <w:name w:val="报告正文"/>
    <w:basedOn w:val="24"/>
    <w:qFormat/>
    <w:uiPriority w:val="0"/>
    <w:pPr>
      <w:spacing w:after="0" w:line="540" w:lineRule="exact"/>
      <w:ind w:left="0" w:leftChars="0" w:firstLine="525"/>
    </w:pPr>
    <w:rPr>
      <w:sz w:val="24"/>
    </w:rPr>
  </w:style>
  <w:style w:type="paragraph" w:customStyle="1" w:styleId="150">
    <w:name w:val="正文文字缩进"/>
    <w:basedOn w:val="1"/>
    <w:next w:val="1"/>
    <w:qFormat/>
    <w:uiPriority w:val="0"/>
    <w:pPr>
      <w:widowControl/>
      <w:spacing w:line="480" w:lineRule="auto"/>
      <w:ind w:left="899" w:firstLine="1"/>
    </w:pPr>
    <w:rPr>
      <w:color w:val="000000"/>
      <w:sz w:val="28"/>
      <w:szCs w:val="20"/>
    </w:rPr>
  </w:style>
  <w:style w:type="paragraph" w:customStyle="1" w:styleId="151">
    <w:name w:val="列出段落1"/>
    <w:basedOn w:val="1"/>
    <w:link w:val="466"/>
    <w:qFormat/>
    <w:uiPriority w:val="4"/>
    <w:pPr>
      <w:ind w:firstLine="420" w:firstLineChars="200"/>
    </w:pPr>
    <w:rPr>
      <w:rFonts w:ascii="Calibri" w:hAnsi="Calibri"/>
      <w:szCs w:val="22"/>
    </w:rPr>
  </w:style>
  <w:style w:type="character" w:customStyle="1" w:styleId="152">
    <w:name w:val="font61"/>
    <w:basedOn w:val="56"/>
    <w:qFormat/>
    <w:uiPriority w:val="0"/>
    <w:rPr>
      <w:rFonts w:hint="eastAsia" w:ascii="宋体" w:hAnsi="宋体" w:eastAsia="宋体" w:cs="宋体"/>
      <w:b/>
      <w:color w:val="000000"/>
      <w:sz w:val="18"/>
      <w:szCs w:val="18"/>
      <w:u w:val="none"/>
    </w:rPr>
  </w:style>
  <w:style w:type="character" w:customStyle="1" w:styleId="153">
    <w:name w:val="7 Char Char"/>
    <w:basedOn w:val="56"/>
    <w:qFormat/>
    <w:uiPriority w:val="0"/>
    <w:rPr>
      <w:kern w:val="2"/>
      <w:sz w:val="28"/>
      <w:szCs w:val="28"/>
    </w:rPr>
  </w:style>
  <w:style w:type="character" w:customStyle="1" w:styleId="154">
    <w:name w:val="标准 正文样式 Char Char"/>
    <w:link w:val="155"/>
    <w:qFormat/>
    <w:uiPriority w:val="0"/>
    <w:rPr>
      <w:rFonts w:ascii="宋体" w:hAnsi="宋体" w:cs="宋体"/>
      <w:kern w:val="2"/>
      <w:sz w:val="24"/>
    </w:rPr>
  </w:style>
  <w:style w:type="paragraph" w:customStyle="1" w:styleId="155">
    <w:name w:val="标准 正文样式"/>
    <w:basedOn w:val="1"/>
    <w:link w:val="154"/>
    <w:qFormat/>
    <w:uiPriority w:val="0"/>
    <w:pPr>
      <w:spacing w:line="360" w:lineRule="auto"/>
      <w:ind w:firstLine="480" w:firstLineChars="200"/>
    </w:pPr>
    <w:rPr>
      <w:rFonts w:ascii="宋体" w:hAnsi="宋体"/>
      <w:sz w:val="24"/>
      <w:szCs w:val="20"/>
    </w:rPr>
  </w:style>
  <w:style w:type="paragraph" w:customStyle="1" w:styleId="156">
    <w:name w:val="Char"/>
    <w:basedOn w:val="1"/>
    <w:qFormat/>
    <w:uiPriority w:val="0"/>
    <w:rPr>
      <w:szCs w:val="20"/>
    </w:rPr>
  </w:style>
  <w:style w:type="paragraph" w:customStyle="1" w:styleId="157">
    <w:name w:val="Char Char Char Char Char Char Char Char Char Char"/>
    <w:basedOn w:val="1"/>
    <w:qFormat/>
    <w:uiPriority w:val="0"/>
    <w:pPr>
      <w:jc w:val="left"/>
    </w:pPr>
    <w:rPr>
      <w:szCs w:val="21"/>
    </w:rPr>
  </w:style>
  <w:style w:type="paragraph" w:customStyle="1" w:styleId="158">
    <w:name w:val="标题二"/>
    <w:basedOn w:val="1"/>
    <w:next w:val="1"/>
    <w:qFormat/>
    <w:uiPriority w:val="4"/>
    <w:pPr>
      <w:spacing w:line="360" w:lineRule="auto"/>
      <w:ind w:firstLine="560" w:firstLineChars="200"/>
    </w:pPr>
    <w:rPr>
      <w:sz w:val="28"/>
      <w:szCs w:val="28"/>
    </w:rPr>
  </w:style>
  <w:style w:type="paragraph" w:customStyle="1" w:styleId="159">
    <w:name w:val="p0"/>
    <w:basedOn w:val="1"/>
    <w:qFormat/>
    <w:uiPriority w:val="0"/>
    <w:pPr>
      <w:widowControl/>
      <w:adjustRightInd w:val="0"/>
      <w:snapToGrid w:val="0"/>
      <w:jc w:val="center"/>
    </w:pPr>
    <w:rPr>
      <w:rFonts w:ascii="宋体"/>
      <w:kern w:val="0"/>
      <w:szCs w:val="21"/>
    </w:rPr>
  </w:style>
  <w:style w:type="paragraph" w:customStyle="1" w:styleId="160">
    <w:name w:val="Char3"/>
    <w:basedOn w:val="1"/>
    <w:qFormat/>
    <w:uiPriority w:val="0"/>
  </w:style>
  <w:style w:type="character" w:customStyle="1" w:styleId="161">
    <w:name w:val="正文首行缩进 2 Char"/>
    <w:basedOn w:val="80"/>
    <w:link w:val="53"/>
    <w:qFormat/>
    <w:uiPriority w:val="0"/>
    <w:rPr>
      <w:kern w:val="2"/>
      <w:sz w:val="21"/>
      <w:szCs w:val="24"/>
    </w:rPr>
  </w:style>
  <w:style w:type="paragraph" w:customStyle="1" w:styleId="162">
    <w:name w:val="Char Char Char Char Char Char1 Char Char Char Char"/>
    <w:basedOn w:val="8"/>
    <w:qFormat/>
    <w:uiPriority w:val="4"/>
    <w:pPr>
      <w:tabs>
        <w:tab w:val="left" w:pos="1440"/>
      </w:tabs>
      <w:ind w:firstLine="720" w:firstLineChars="200"/>
    </w:pPr>
  </w:style>
  <w:style w:type="character" w:customStyle="1" w:styleId="163">
    <w:name w:val="font41"/>
    <w:basedOn w:val="56"/>
    <w:qFormat/>
    <w:uiPriority w:val="0"/>
    <w:rPr>
      <w:rFonts w:hint="eastAsia" w:ascii="宋体" w:hAnsi="宋体" w:eastAsia="宋体" w:cs="宋体"/>
      <w:color w:val="000000"/>
      <w:sz w:val="18"/>
      <w:szCs w:val="18"/>
      <w:u w:val="none"/>
    </w:rPr>
  </w:style>
  <w:style w:type="character" w:customStyle="1" w:styleId="164">
    <w:name w:val="shev Char Char"/>
    <w:basedOn w:val="56"/>
    <w:link w:val="165"/>
    <w:qFormat/>
    <w:uiPriority w:val="4"/>
    <w:rPr>
      <w:rFonts w:ascii="宋体" w:hAnsi="宋体" w:cs="宋体"/>
      <w:b/>
      <w:kern w:val="2"/>
      <w:sz w:val="28"/>
      <w:szCs w:val="28"/>
    </w:rPr>
  </w:style>
  <w:style w:type="paragraph" w:customStyle="1" w:styleId="165">
    <w:name w:val="shev"/>
    <w:basedOn w:val="1"/>
    <w:link w:val="164"/>
    <w:qFormat/>
    <w:uiPriority w:val="4"/>
    <w:pPr>
      <w:adjustRightInd w:val="0"/>
      <w:spacing w:line="360" w:lineRule="auto"/>
      <w:ind w:firstLine="200" w:firstLineChars="200"/>
      <w:outlineLvl w:val="1"/>
    </w:pPr>
    <w:rPr>
      <w:rFonts w:ascii="宋体" w:hAnsi="宋体" w:cs="宋体"/>
      <w:b/>
      <w:sz w:val="28"/>
      <w:szCs w:val="28"/>
    </w:rPr>
  </w:style>
  <w:style w:type="paragraph" w:customStyle="1" w:styleId="16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67">
    <w:name w:val="批注文字 Char"/>
    <w:basedOn w:val="56"/>
    <w:link w:val="21"/>
    <w:qFormat/>
    <w:uiPriority w:val="0"/>
    <w:rPr>
      <w:kern w:val="2"/>
      <w:sz w:val="21"/>
      <w:szCs w:val="24"/>
    </w:rPr>
  </w:style>
  <w:style w:type="paragraph" w:customStyle="1" w:styleId="168">
    <w:name w:val="Char Char Char Char Char Char1 Char Char Char Char5"/>
    <w:basedOn w:val="8"/>
    <w:qFormat/>
    <w:uiPriority w:val="0"/>
    <w:pPr>
      <w:tabs>
        <w:tab w:val="left" w:pos="1440"/>
      </w:tabs>
      <w:ind w:firstLine="720" w:firstLineChars="200"/>
    </w:pPr>
  </w:style>
  <w:style w:type="paragraph" w:customStyle="1" w:styleId="169">
    <w:name w:val="Char Char Char Char Char Char1 Char Char Char Char4"/>
    <w:basedOn w:val="8"/>
    <w:qFormat/>
    <w:uiPriority w:val="0"/>
    <w:pPr>
      <w:tabs>
        <w:tab w:val="left" w:pos="1440"/>
      </w:tabs>
      <w:ind w:firstLine="720" w:firstLineChars="200"/>
    </w:pPr>
  </w:style>
  <w:style w:type="paragraph" w:customStyle="1" w:styleId="170">
    <w:name w:val="Char Char Char Char Char Char1 Char Char Char Char3"/>
    <w:basedOn w:val="8"/>
    <w:qFormat/>
    <w:uiPriority w:val="0"/>
    <w:pPr>
      <w:tabs>
        <w:tab w:val="left" w:pos="1440"/>
      </w:tabs>
      <w:ind w:firstLine="720" w:firstLineChars="200"/>
    </w:pPr>
  </w:style>
  <w:style w:type="paragraph" w:customStyle="1" w:styleId="171">
    <w:name w:val="Char Char Char Char Char Char1 Char Char Char Char2"/>
    <w:basedOn w:val="8"/>
    <w:qFormat/>
    <w:uiPriority w:val="0"/>
    <w:pPr>
      <w:tabs>
        <w:tab w:val="left" w:pos="1440"/>
      </w:tabs>
      <w:ind w:firstLine="720" w:firstLineChars="200"/>
    </w:pPr>
  </w:style>
  <w:style w:type="paragraph" w:customStyle="1" w:styleId="172">
    <w:name w:val="Char Char Char Char Char Char1 Char Char Char Char1"/>
    <w:basedOn w:val="8"/>
    <w:qFormat/>
    <w:uiPriority w:val="0"/>
    <w:pPr>
      <w:tabs>
        <w:tab w:val="left" w:pos="1440"/>
      </w:tabs>
      <w:ind w:firstLine="720" w:firstLineChars="200"/>
    </w:pPr>
  </w:style>
  <w:style w:type="paragraph" w:customStyle="1" w:styleId="173">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宋体" w:cs="Times New Roman"/>
      <w:lang w:val="en-US" w:eastAsia="zh-CN" w:bidi="ar-SA"/>
    </w:rPr>
  </w:style>
  <w:style w:type="character" w:customStyle="1" w:styleId="174">
    <w:name w:val="副标题 Char"/>
    <w:link w:val="38"/>
    <w:qFormat/>
    <w:uiPriority w:val="4"/>
    <w:rPr>
      <w:rFonts w:ascii="Cambria" w:hAnsi="Cambria"/>
      <w:b/>
      <w:bCs/>
      <w:kern w:val="28"/>
      <w:sz w:val="32"/>
      <w:szCs w:val="32"/>
    </w:rPr>
  </w:style>
  <w:style w:type="character" w:customStyle="1" w:styleId="175">
    <w:name w:val="批注主题 Char"/>
    <w:link w:val="51"/>
    <w:qFormat/>
    <w:uiPriority w:val="0"/>
    <w:rPr>
      <w:b/>
      <w:bCs/>
      <w:kern w:val="2"/>
      <w:sz w:val="21"/>
      <w:szCs w:val="22"/>
    </w:rPr>
  </w:style>
  <w:style w:type="character" w:customStyle="1" w:styleId="176">
    <w:name w:val="Char Char Char Char Char Char Char Char Char Char Char"/>
    <w:basedOn w:val="56"/>
    <w:link w:val="177"/>
    <w:qFormat/>
    <w:uiPriority w:val="0"/>
    <w:rPr>
      <w:kern w:val="2"/>
      <w:sz w:val="21"/>
    </w:rPr>
  </w:style>
  <w:style w:type="paragraph" w:customStyle="1" w:styleId="177">
    <w:name w:val="Char Char Char Char Char Char Char Char Char Char2"/>
    <w:basedOn w:val="1"/>
    <w:link w:val="176"/>
    <w:qFormat/>
    <w:uiPriority w:val="0"/>
    <w:pPr>
      <w:jc w:val="left"/>
    </w:pPr>
    <w:rPr>
      <w:szCs w:val="20"/>
    </w:rPr>
  </w:style>
  <w:style w:type="character" w:customStyle="1" w:styleId="178">
    <w:name w:val="标题 Char"/>
    <w:link w:val="50"/>
    <w:qFormat/>
    <w:uiPriority w:val="0"/>
    <w:rPr>
      <w:rFonts w:ascii="Cambria" w:hAnsi="Cambria"/>
      <w:b/>
      <w:bCs/>
      <w:kern w:val="2"/>
      <w:sz w:val="32"/>
      <w:szCs w:val="32"/>
    </w:rPr>
  </w:style>
  <w:style w:type="character" w:customStyle="1" w:styleId="179">
    <w:name w:val="副标题 Char1"/>
    <w:basedOn w:val="56"/>
    <w:qFormat/>
    <w:uiPriority w:val="0"/>
    <w:rPr>
      <w:rFonts w:asciiTheme="majorHAnsi" w:hAnsiTheme="majorHAnsi" w:cstheme="majorBidi"/>
      <w:b/>
      <w:bCs/>
      <w:kern w:val="28"/>
      <w:sz w:val="32"/>
      <w:szCs w:val="32"/>
    </w:rPr>
  </w:style>
  <w:style w:type="character" w:customStyle="1" w:styleId="180">
    <w:name w:val="标题 Char1"/>
    <w:basedOn w:val="56"/>
    <w:qFormat/>
    <w:uiPriority w:val="4"/>
    <w:rPr>
      <w:rFonts w:asciiTheme="majorHAnsi" w:hAnsiTheme="majorHAnsi" w:cstheme="majorBidi"/>
      <w:b/>
      <w:bCs/>
      <w:kern w:val="2"/>
      <w:sz w:val="32"/>
      <w:szCs w:val="32"/>
    </w:rPr>
  </w:style>
  <w:style w:type="character" w:customStyle="1" w:styleId="181">
    <w:name w:val="批注主题 Char1"/>
    <w:basedOn w:val="167"/>
    <w:qFormat/>
    <w:uiPriority w:val="0"/>
    <w:rPr>
      <w:b/>
      <w:bCs/>
      <w:kern w:val="2"/>
      <w:sz w:val="21"/>
      <w:szCs w:val="24"/>
    </w:rPr>
  </w:style>
  <w:style w:type="character" w:customStyle="1" w:styleId="182">
    <w:name w:val="bg正文首行缩进 Char"/>
    <w:link w:val="183"/>
    <w:qFormat/>
    <w:uiPriority w:val="0"/>
    <w:rPr>
      <w:rFonts w:ascii="Calibri" w:hAnsi="Calibri"/>
      <w:kern w:val="2"/>
      <w:sz w:val="24"/>
    </w:rPr>
  </w:style>
  <w:style w:type="paragraph" w:customStyle="1" w:styleId="183">
    <w:name w:val="bg正文首行缩进"/>
    <w:basedOn w:val="1"/>
    <w:link w:val="182"/>
    <w:qFormat/>
    <w:uiPriority w:val="0"/>
    <w:pPr>
      <w:spacing w:line="400" w:lineRule="exact"/>
      <w:ind w:firstLine="482"/>
    </w:pPr>
    <w:rPr>
      <w:rFonts w:ascii="Calibri" w:hAnsi="Calibri"/>
      <w:sz w:val="24"/>
      <w:szCs w:val="20"/>
    </w:rPr>
  </w:style>
  <w:style w:type="character" w:customStyle="1" w:styleId="184">
    <w:name w:val="font01"/>
    <w:qFormat/>
    <w:uiPriority w:val="0"/>
    <w:rPr>
      <w:rFonts w:hint="default" w:ascii="Times New Roman" w:hAnsi="Times New Roman" w:cs="Times New Roman"/>
      <w:color w:val="000000"/>
      <w:sz w:val="20"/>
      <w:szCs w:val="20"/>
      <w:u w:val="none"/>
      <w:vertAlign w:val="subscript"/>
    </w:rPr>
  </w:style>
  <w:style w:type="character" w:customStyle="1" w:styleId="185">
    <w:name w:val="font31"/>
    <w:qFormat/>
    <w:uiPriority w:val="0"/>
    <w:rPr>
      <w:rFonts w:hint="eastAsia" w:ascii="宋体" w:hAnsi="宋体" w:eastAsia="宋体" w:cs="宋体"/>
      <w:b/>
      <w:color w:val="000000"/>
      <w:sz w:val="24"/>
      <w:szCs w:val="24"/>
      <w:u w:val="none"/>
    </w:rPr>
  </w:style>
  <w:style w:type="character" w:customStyle="1" w:styleId="186">
    <w:name w:val="font11"/>
    <w:qFormat/>
    <w:uiPriority w:val="0"/>
    <w:rPr>
      <w:rFonts w:hint="default" w:ascii="Times New Roman" w:hAnsi="Times New Roman" w:cs="Times New Roman"/>
      <w:color w:val="000000"/>
      <w:sz w:val="24"/>
      <w:szCs w:val="24"/>
      <w:u w:val="none"/>
    </w:rPr>
  </w:style>
  <w:style w:type="character" w:customStyle="1" w:styleId="187">
    <w:name w:val="font51"/>
    <w:qFormat/>
    <w:uiPriority w:val="0"/>
    <w:rPr>
      <w:rFonts w:hint="default" w:ascii="Times New Roman" w:hAnsi="Times New Roman" w:cs="Times New Roman"/>
      <w:color w:val="000000"/>
      <w:sz w:val="20"/>
      <w:szCs w:val="20"/>
      <w:u w:val="none"/>
    </w:rPr>
  </w:style>
  <w:style w:type="character" w:customStyle="1" w:styleId="188">
    <w:name w:val="正文文本 (9)_"/>
    <w:link w:val="189"/>
    <w:qFormat/>
    <w:locked/>
    <w:uiPriority w:val="0"/>
    <w:rPr>
      <w:rFonts w:ascii="MingLiU" w:hAnsi="MingLiU" w:eastAsia="MingLiU"/>
      <w:sz w:val="13"/>
      <w:szCs w:val="13"/>
      <w:shd w:val="clear" w:color="auto" w:fill="FFFFFF"/>
    </w:rPr>
  </w:style>
  <w:style w:type="paragraph" w:customStyle="1" w:styleId="189">
    <w:name w:val="正文文本 (9)1"/>
    <w:basedOn w:val="1"/>
    <w:link w:val="188"/>
    <w:qFormat/>
    <w:uiPriority w:val="0"/>
    <w:pPr>
      <w:widowControl/>
      <w:shd w:val="clear" w:color="auto" w:fill="FFFFFF"/>
      <w:spacing w:before="360" w:line="287" w:lineRule="exact"/>
      <w:ind w:firstLine="560" w:firstLineChars="200"/>
      <w:jc w:val="distribute"/>
    </w:pPr>
    <w:rPr>
      <w:rFonts w:ascii="MingLiU" w:hAnsi="MingLiU" w:eastAsia="MingLiU"/>
      <w:kern w:val="0"/>
      <w:sz w:val="13"/>
      <w:szCs w:val="13"/>
    </w:rPr>
  </w:style>
  <w:style w:type="character" w:customStyle="1" w:styleId="190">
    <w:name w:val="font21"/>
    <w:qFormat/>
    <w:uiPriority w:val="0"/>
    <w:rPr>
      <w:rFonts w:hint="eastAsia" w:ascii="宋体" w:hAnsi="宋体" w:eastAsia="宋体" w:cs="宋体"/>
      <w:color w:val="000000"/>
      <w:sz w:val="24"/>
      <w:szCs w:val="24"/>
      <w:u w:val="none"/>
    </w:rPr>
  </w:style>
  <w:style w:type="character" w:customStyle="1" w:styleId="191">
    <w:name w:val="m正文 Char"/>
    <w:link w:val="192"/>
    <w:qFormat/>
    <w:uiPriority w:val="0"/>
    <w:rPr>
      <w:rFonts w:hAnsi="宋体"/>
      <w:bCs/>
      <w:color w:val="000000"/>
      <w:kern w:val="2"/>
      <w:sz w:val="28"/>
      <w:szCs w:val="28"/>
    </w:rPr>
  </w:style>
  <w:style w:type="paragraph" w:customStyle="1" w:styleId="192">
    <w:name w:val="m正文"/>
    <w:basedOn w:val="1"/>
    <w:link w:val="191"/>
    <w:qFormat/>
    <w:uiPriority w:val="0"/>
    <w:pPr>
      <w:spacing w:line="360" w:lineRule="auto"/>
      <w:ind w:firstLine="560" w:firstLineChars="200"/>
      <w:jc w:val="left"/>
    </w:pPr>
    <w:rPr>
      <w:rFonts w:hAnsi="宋体"/>
      <w:bCs/>
      <w:color w:val="000000"/>
      <w:sz w:val="28"/>
      <w:szCs w:val="28"/>
    </w:rPr>
  </w:style>
  <w:style w:type="character" w:customStyle="1" w:styleId="193">
    <w:name w:val="apple-converted-space"/>
    <w:basedOn w:val="56"/>
    <w:qFormat/>
    <w:uiPriority w:val="0"/>
    <w:rPr>
      <w:szCs w:val="20"/>
    </w:rPr>
  </w:style>
  <w:style w:type="character" w:customStyle="1" w:styleId="194">
    <w:name w:val="宏文本 Char"/>
    <w:link w:val="2"/>
    <w:qFormat/>
    <w:uiPriority w:val="4"/>
    <w:rPr>
      <w:rFonts w:ascii="Courier New" w:hAnsi="Courier New" w:cs="Courier New"/>
      <w:kern w:val="2"/>
      <w:sz w:val="24"/>
      <w:szCs w:val="24"/>
    </w:rPr>
  </w:style>
  <w:style w:type="character" w:customStyle="1" w:styleId="195">
    <w:name w:val="宏文本 Char1"/>
    <w:basedOn w:val="56"/>
    <w:qFormat/>
    <w:uiPriority w:val="0"/>
    <w:rPr>
      <w:rFonts w:ascii="Courier New" w:hAnsi="Courier New" w:cs="Courier New"/>
      <w:kern w:val="2"/>
      <w:sz w:val="24"/>
      <w:szCs w:val="24"/>
    </w:rPr>
  </w:style>
  <w:style w:type="paragraph" w:customStyle="1" w:styleId="196">
    <w:name w:val="Char Char Char Char Char Char Char Char Char Char Char Char Char Char4"/>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197">
    <w:name w:val="Char Char Char1 Char Char Char Char Char Char Char Char Char Char Char Char Char Char Char Char Char Char Char"/>
    <w:basedOn w:val="1"/>
    <w:qFormat/>
    <w:uiPriority w:val="0"/>
    <w:pPr>
      <w:spacing w:line="360" w:lineRule="auto"/>
      <w:ind w:firstLine="560" w:firstLineChars="200"/>
    </w:pPr>
    <w:rPr>
      <w:sz w:val="28"/>
      <w:szCs w:val="28"/>
    </w:rPr>
  </w:style>
  <w:style w:type="paragraph" w:customStyle="1" w:styleId="198">
    <w:name w:val="列出段落11"/>
    <w:basedOn w:val="1"/>
    <w:qFormat/>
    <w:uiPriority w:val="4"/>
    <w:pPr>
      <w:spacing w:line="360" w:lineRule="auto"/>
      <w:ind w:firstLine="420" w:firstLineChars="200"/>
    </w:pPr>
    <w:rPr>
      <w:rFonts w:ascii="Calibri" w:hAnsi="Calibri"/>
      <w:sz w:val="28"/>
      <w:szCs w:val="22"/>
    </w:rPr>
  </w:style>
  <w:style w:type="paragraph" w:customStyle="1" w:styleId="199">
    <w:name w:val="Char1"/>
    <w:basedOn w:val="1"/>
    <w:qFormat/>
    <w:uiPriority w:val="0"/>
    <w:pPr>
      <w:spacing w:line="360" w:lineRule="auto"/>
      <w:ind w:firstLine="560" w:firstLineChars="200"/>
    </w:pPr>
    <w:rPr>
      <w:sz w:val="28"/>
    </w:rPr>
  </w:style>
  <w:style w:type="paragraph" w:customStyle="1" w:styleId="200">
    <w:name w:val="Char Char Char Char Char Char Char Char Char Char Char Char Char Char2"/>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01">
    <w:name w:val="样式 正文文本 + 仿宋_GB2312 四号 黑色 段后: 0 磅 行距: 1.5 倍行距"/>
    <w:basedOn w:val="23"/>
    <w:qFormat/>
    <w:uiPriority w:val="0"/>
    <w:pPr>
      <w:spacing w:after="0" w:line="360" w:lineRule="auto"/>
      <w:ind w:firstLine="200" w:firstLineChars="200"/>
    </w:pPr>
    <w:rPr>
      <w:rFonts w:ascii="仿宋_GB2312" w:hAnsi="仿宋_GB2312" w:eastAsia="仿宋_GB2312" w:cs="宋体"/>
      <w:color w:val="000000"/>
      <w:sz w:val="28"/>
      <w:szCs w:val="20"/>
    </w:rPr>
  </w:style>
  <w:style w:type="paragraph" w:customStyle="1" w:styleId="202">
    <w:name w:val="正文1 Char"/>
    <w:basedOn w:val="1"/>
    <w:qFormat/>
    <w:uiPriority w:val="0"/>
    <w:pPr>
      <w:adjustRightInd w:val="0"/>
      <w:spacing w:line="500" w:lineRule="exact"/>
      <w:ind w:right="-94" w:rightChars="-45" w:firstLine="560" w:firstLineChars="200"/>
      <w:textAlignment w:val="baseline"/>
    </w:pPr>
    <w:rPr>
      <w:rFonts w:ascii="仿宋_GB2312" w:hAnsi="Arial" w:eastAsia="仿宋_GB2312"/>
      <w:bCs/>
      <w:kern w:val="0"/>
      <w:sz w:val="28"/>
      <w:szCs w:val="28"/>
    </w:rPr>
  </w:style>
  <w:style w:type="paragraph" w:customStyle="1" w:styleId="203">
    <w:name w:val="_Style 5"/>
    <w:basedOn w:val="1"/>
    <w:qFormat/>
    <w:uiPriority w:val="0"/>
    <w:pPr>
      <w:spacing w:line="360" w:lineRule="auto"/>
      <w:ind w:firstLine="420" w:firstLineChars="200"/>
    </w:pPr>
    <w:rPr>
      <w:rFonts w:ascii="Calibri" w:hAnsi="Calibri"/>
      <w:sz w:val="28"/>
      <w:szCs w:val="22"/>
    </w:rPr>
  </w:style>
  <w:style w:type="paragraph" w:customStyle="1" w:styleId="204">
    <w:name w:val="Char Char Char Char3"/>
    <w:basedOn w:val="1"/>
    <w:qFormat/>
    <w:uiPriority w:val="0"/>
    <w:pPr>
      <w:adjustRightInd w:val="0"/>
      <w:snapToGrid w:val="0"/>
      <w:spacing w:line="360" w:lineRule="auto"/>
      <w:ind w:firstLine="960" w:firstLineChars="200"/>
    </w:pPr>
    <w:rPr>
      <w:sz w:val="28"/>
    </w:rPr>
  </w:style>
  <w:style w:type="paragraph" w:customStyle="1" w:styleId="205">
    <w:name w:val="Char2"/>
    <w:basedOn w:val="1"/>
    <w:qFormat/>
    <w:uiPriority w:val="4"/>
    <w:pPr>
      <w:spacing w:line="360" w:lineRule="auto"/>
      <w:ind w:left="-48" w:firstLine="560" w:firstLineChars="200"/>
    </w:pPr>
    <w:rPr>
      <w:sz w:val="28"/>
    </w:rPr>
  </w:style>
  <w:style w:type="paragraph" w:customStyle="1" w:styleId="206">
    <w:name w:val="reader-word-layer"/>
    <w:basedOn w:val="1"/>
    <w:qFormat/>
    <w:uiPriority w:val="0"/>
    <w:pPr>
      <w:widowControl/>
      <w:spacing w:before="100" w:beforeAutospacing="1" w:after="100" w:afterAutospacing="1" w:line="360" w:lineRule="auto"/>
      <w:ind w:firstLine="560" w:firstLineChars="200"/>
      <w:jc w:val="left"/>
    </w:pPr>
    <w:rPr>
      <w:rFonts w:ascii="宋体" w:hAnsi="宋体" w:cs="宋体"/>
      <w:kern w:val="0"/>
      <w:sz w:val="24"/>
    </w:rPr>
  </w:style>
  <w:style w:type="paragraph" w:customStyle="1" w:styleId="207">
    <w:name w:val="Char Char Char Char2"/>
    <w:basedOn w:val="1"/>
    <w:qFormat/>
    <w:uiPriority w:val="0"/>
    <w:pPr>
      <w:spacing w:line="360" w:lineRule="auto"/>
      <w:ind w:firstLine="560" w:firstLineChars="200"/>
    </w:pPr>
    <w:rPr>
      <w:sz w:val="28"/>
    </w:rPr>
  </w:style>
  <w:style w:type="paragraph" w:customStyle="1" w:styleId="208">
    <w:name w:val="Char Char Char Char Char Char Char Char Char Char1"/>
    <w:basedOn w:val="1"/>
    <w:qFormat/>
    <w:uiPriority w:val="0"/>
    <w:pPr>
      <w:spacing w:line="360" w:lineRule="auto"/>
      <w:ind w:firstLine="560" w:firstLineChars="200"/>
      <w:jc w:val="left"/>
    </w:pPr>
    <w:rPr>
      <w:sz w:val="28"/>
      <w:szCs w:val="20"/>
    </w:rPr>
  </w:style>
  <w:style w:type="paragraph" w:customStyle="1" w:styleId="209">
    <w:name w:val="样式 四号 加粗 居中"/>
    <w:basedOn w:val="1"/>
    <w:qFormat/>
    <w:uiPriority w:val="0"/>
    <w:pPr>
      <w:spacing w:line="360" w:lineRule="auto"/>
      <w:ind w:firstLine="560" w:firstLineChars="200"/>
      <w:jc w:val="center"/>
    </w:pPr>
    <w:rPr>
      <w:rFonts w:eastAsia="仿宋_GB2312" w:cs="宋体"/>
      <w:b/>
      <w:bCs/>
      <w:sz w:val="28"/>
      <w:szCs w:val="20"/>
    </w:rPr>
  </w:style>
  <w:style w:type="paragraph" w:customStyle="1" w:styleId="210">
    <w:name w:val="默认段落字体 Para Char"/>
    <w:basedOn w:val="1"/>
    <w:next w:val="1"/>
    <w:qFormat/>
    <w:uiPriority w:val="4"/>
    <w:pPr>
      <w:spacing w:line="360" w:lineRule="auto"/>
      <w:ind w:firstLine="200" w:firstLineChars="200"/>
    </w:pPr>
    <w:rPr>
      <w:rFonts w:ascii="宋体" w:hAnsi="宋体" w:cs="宋体"/>
      <w:sz w:val="24"/>
    </w:rPr>
  </w:style>
  <w:style w:type="paragraph" w:customStyle="1" w:styleId="211">
    <w:name w:val="默认段落字体 Para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2">
    <w:name w:val="Char Char Char Char Char Char Char Char Char Char Char Char Char Char1"/>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13">
    <w:name w:val="_Style 8"/>
    <w:basedOn w:val="1"/>
    <w:next w:val="1"/>
    <w:qFormat/>
    <w:uiPriority w:val="0"/>
    <w:pPr>
      <w:spacing w:line="360" w:lineRule="auto"/>
      <w:ind w:firstLine="200" w:firstLineChars="200"/>
    </w:pPr>
    <w:rPr>
      <w:sz w:val="28"/>
    </w:rPr>
  </w:style>
  <w:style w:type="paragraph" w:customStyle="1" w:styleId="214">
    <w:name w:val="图表目录1"/>
    <w:basedOn w:val="1"/>
    <w:next w:val="1"/>
    <w:qFormat/>
    <w:uiPriority w:val="0"/>
    <w:pPr>
      <w:spacing w:line="360" w:lineRule="auto"/>
      <w:ind w:left="200" w:leftChars="200" w:hanging="200" w:hangingChars="200"/>
    </w:pPr>
    <w:rPr>
      <w:sz w:val="28"/>
    </w:rPr>
  </w:style>
  <w:style w:type="paragraph" w:customStyle="1" w:styleId="215">
    <w:name w:val="Char Char Char Char1"/>
    <w:basedOn w:val="1"/>
    <w:qFormat/>
    <w:uiPriority w:val="0"/>
    <w:pPr>
      <w:spacing w:line="360" w:lineRule="auto"/>
      <w:ind w:firstLine="560" w:firstLineChars="200"/>
    </w:pPr>
    <w:rPr>
      <w:sz w:val="28"/>
    </w:rPr>
  </w:style>
  <w:style w:type="paragraph" w:customStyle="1" w:styleId="216">
    <w:name w:val="Char Char Char Char Char Char Char Char Char Char Char Char Char Char3"/>
    <w:qFormat/>
    <w:uiPriority w:val="0"/>
    <w:pPr>
      <w:widowControl w:val="0"/>
      <w:spacing w:line="500" w:lineRule="exact"/>
      <w:ind w:firstLine="560" w:firstLineChars="200"/>
    </w:pPr>
    <w:rPr>
      <w:rFonts w:ascii="宋体" w:hAnsi="宋体" w:eastAsia="宋体" w:cs="Times New Roman"/>
      <w:sz w:val="28"/>
      <w:szCs w:val="24"/>
      <w:lang w:val="en-US" w:eastAsia="zh-CN" w:bidi="ar-SA"/>
    </w:rPr>
  </w:style>
  <w:style w:type="paragraph" w:customStyle="1" w:styleId="217">
    <w:name w:val="xl40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18">
    <w:name w:val="xl4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19">
    <w:name w:val="xl4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20">
    <w:name w:val="xl4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21">
    <w:name w:val="xl4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22">
    <w:name w:val="xl41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23">
    <w:name w:val="xl41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224">
    <w:name w:val="xl41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25">
    <w:name w:val="xl416"/>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226">
    <w:name w:val="xl41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27">
    <w:name w:val="xl41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28">
    <w:name w:val="xl41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29">
    <w:name w:val="xl42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30">
    <w:name w:val="xl421"/>
    <w:basedOn w:val="1"/>
    <w:qFormat/>
    <w:uiPriority w:val="0"/>
    <w:pPr>
      <w:widowControl/>
      <w:shd w:val="clear" w:color="000000" w:fill="FFFF00"/>
      <w:spacing w:before="100" w:beforeAutospacing="1" w:after="100" w:afterAutospacing="1"/>
      <w:jc w:val="left"/>
      <w:textAlignment w:val="center"/>
    </w:pPr>
    <w:rPr>
      <w:rFonts w:ascii="宋体" w:hAnsi="宋体" w:cs="宋体"/>
      <w:kern w:val="0"/>
      <w:sz w:val="18"/>
      <w:szCs w:val="18"/>
    </w:rPr>
  </w:style>
  <w:style w:type="paragraph" w:customStyle="1" w:styleId="231">
    <w:name w:val="xl422"/>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2">
    <w:name w:val="xl4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3">
    <w:name w:val="xl42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4">
    <w:name w:val="xl42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5">
    <w:name w:val="xl426"/>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36">
    <w:name w:val="xl427"/>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37">
    <w:name w:val="xl42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8">
    <w:name w:val="xl42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9">
    <w:name w:val="xl43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0">
    <w:name w:val="xl431"/>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1">
    <w:name w:val="xl43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2">
    <w:name w:val="xl43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3">
    <w:name w:val="xl43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4">
    <w:name w:val="xl43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5">
    <w:name w:val="xl43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6">
    <w:name w:val="xl437"/>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7">
    <w:name w:val="xl438"/>
    <w:basedOn w:val="1"/>
    <w:qFormat/>
    <w:uiPriority w:val="0"/>
    <w:pPr>
      <w:widowControl/>
      <w:pBdr>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8">
    <w:name w:val="xl439"/>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9">
    <w:name w:val="xl440"/>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0">
    <w:name w:val="xl441"/>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1">
    <w:name w:val="xl442"/>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2">
    <w:name w:val="xl443"/>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3">
    <w:name w:val="xl444"/>
    <w:basedOn w:val="1"/>
    <w:qFormat/>
    <w:uiPriority w:val="0"/>
    <w:pPr>
      <w:widowControl/>
      <w:pBdr>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4">
    <w:name w:val="xl445"/>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5">
    <w:name w:val="xl446"/>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6">
    <w:name w:val="xl447"/>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57">
    <w:name w:val="xl448"/>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58">
    <w:name w:val="xl449"/>
    <w:basedOn w:val="1"/>
    <w:qFormat/>
    <w:uiPriority w:val="0"/>
    <w:pPr>
      <w:widowControl/>
      <w:pBdr>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59">
    <w:name w:val="xl450"/>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0">
    <w:name w:val="xl451"/>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1">
    <w:name w:val="xl452"/>
    <w:basedOn w:val="1"/>
    <w:qFormat/>
    <w:uiPriority w:val="0"/>
    <w:pPr>
      <w:widowControl/>
      <w:pBdr>
        <w:top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2">
    <w:name w:val="xl453"/>
    <w:basedOn w:val="1"/>
    <w:qFormat/>
    <w:uiPriority w:val="0"/>
    <w:pPr>
      <w:widowControl/>
      <w:pBdr>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3">
    <w:name w:val="xl454"/>
    <w:basedOn w:val="1"/>
    <w:qFormat/>
    <w:uiPriority w:val="0"/>
    <w:pPr>
      <w:widowControl/>
      <w:pBdr>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4">
    <w:name w:val="xl455"/>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5">
    <w:name w:val="xl456"/>
    <w:basedOn w:val="1"/>
    <w:qFormat/>
    <w:uiPriority w:val="0"/>
    <w:pPr>
      <w:widowControl/>
      <w:pBdr>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6">
    <w:name w:val="xl457"/>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7">
    <w:name w:val="xl458"/>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8">
    <w:name w:val="xl459"/>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9">
    <w:name w:val="xl460"/>
    <w:basedOn w:val="1"/>
    <w:qFormat/>
    <w:uiPriority w:val="0"/>
    <w:pPr>
      <w:widowControl/>
      <w:pBdr>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70">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71">
    <w:name w:val="正文-CQ"/>
    <w:basedOn w:val="1"/>
    <w:qFormat/>
    <w:uiPriority w:val="0"/>
    <w:pPr>
      <w:spacing w:line="360" w:lineRule="auto"/>
      <w:ind w:firstLine="560" w:firstLineChars="200"/>
    </w:pPr>
    <w:rPr>
      <w:rFonts w:ascii="仿宋" w:hAnsi="仿宋" w:eastAsia="仿宋"/>
      <w:sz w:val="28"/>
      <w:szCs w:val="20"/>
    </w:rPr>
  </w:style>
  <w:style w:type="paragraph" w:customStyle="1" w:styleId="272">
    <w:name w:val="歪正文"/>
    <w:basedOn w:val="1"/>
    <w:semiHidden/>
    <w:qFormat/>
    <w:uiPriority w:val="4"/>
    <w:pPr>
      <w:spacing w:line="560" w:lineRule="exact"/>
      <w:ind w:firstLine="200" w:firstLineChars="200"/>
      <w:textAlignment w:val="top"/>
    </w:pPr>
    <w:rPr>
      <w:rFonts w:eastAsia="仿宋" w:cs="宋体"/>
      <w:sz w:val="28"/>
      <w:szCs w:val="20"/>
    </w:rPr>
  </w:style>
  <w:style w:type="character" w:customStyle="1" w:styleId="273">
    <w:name w:val="标题 8 Char"/>
    <w:basedOn w:val="56"/>
    <w:link w:val="10"/>
    <w:semiHidden/>
    <w:qFormat/>
    <w:uiPriority w:val="4"/>
    <w:rPr>
      <w:rFonts w:ascii="Arial" w:hAnsi="Arial" w:eastAsia="黑体"/>
      <w:kern w:val="2"/>
      <w:sz w:val="24"/>
    </w:rPr>
  </w:style>
  <w:style w:type="character" w:customStyle="1" w:styleId="274">
    <w:name w:val="正文文本 3 Char"/>
    <w:basedOn w:val="56"/>
    <w:link w:val="22"/>
    <w:qFormat/>
    <w:uiPriority w:val="4"/>
    <w:rPr>
      <w:kern w:val="2"/>
      <w:sz w:val="16"/>
      <w:szCs w:val="16"/>
    </w:rPr>
  </w:style>
  <w:style w:type="character" w:customStyle="1" w:styleId="275">
    <w:name w:val="标题 5 Char1"/>
    <w:qFormat/>
    <w:uiPriority w:val="4"/>
    <w:rPr>
      <w:rFonts w:ascii="仿宋" w:hAnsi="仿宋" w:eastAsia="仿宋"/>
      <w:b/>
      <w:bCs/>
      <w:kern w:val="2"/>
      <w:sz w:val="28"/>
    </w:rPr>
  </w:style>
  <w:style w:type="character" w:customStyle="1" w:styleId="276">
    <w:name w:val="标题 3 Char1"/>
    <w:basedOn w:val="56"/>
    <w:qFormat/>
    <w:uiPriority w:val="0"/>
    <w:rPr>
      <w:rFonts w:ascii="仿宋" w:hAnsi="仿宋" w:eastAsia="仿宋"/>
      <w:b/>
      <w:kern w:val="2"/>
      <w:sz w:val="30"/>
    </w:rPr>
  </w:style>
  <w:style w:type="character" w:customStyle="1" w:styleId="277">
    <w:name w:val="标题 4 Char1"/>
    <w:basedOn w:val="56"/>
    <w:semiHidden/>
    <w:qFormat/>
    <w:uiPriority w:val="4"/>
    <w:rPr>
      <w:rFonts w:ascii="仿宋" w:hAnsi="仿宋" w:eastAsia="仿宋"/>
      <w:b/>
      <w:kern w:val="2"/>
      <w:sz w:val="28"/>
    </w:rPr>
  </w:style>
  <w:style w:type="paragraph" w:customStyle="1" w:styleId="278">
    <w:name w:val="表格"/>
    <w:basedOn w:val="23"/>
    <w:next w:val="23"/>
    <w:link w:val="313"/>
    <w:semiHidden/>
    <w:qFormat/>
    <w:uiPriority w:val="4"/>
    <w:pPr>
      <w:spacing w:after="0"/>
      <w:jc w:val="center"/>
    </w:pPr>
    <w:rPr>
      <w:rFonts w:ascii="宋体" w:hAnsi="宋体" w:cs="宋体"/>
      <w:sz w:val="24"/>
      <w:szCs w:val="28"/>
      <w:lang w:val="zh-CN" w:bidi="zh-CN"/>
    </w:rPr>
  </w:style>
  <w:style w:type="character" w:customStyle="1" w:styleId="279">
    <w:name w:val="页脚 Char2"/>
    <w:qFormat/>
    <w:uiPriority w:val="0"/>
    <w:rPr>
      <w:rFonts w:eastAsia="仿宋"/>
      <w:kern w:val="2"/>
      <w:sz w:val="18"/>
      <w:szCs w:val="18"/>
    </w:rPr>
  </w:style>
  <w:style w:type="character" w:customStyle="1" w:styleId="280">
    <w:name w:val="标题 2 Char2"/>
    <w:basedOn w:val="56"/>
    <w:link w:val="4"/>
    <w:qFormat/>
    <w:uiPriority w:val="0"/>
    <w:rPr>
      <w:rFonts w:ascii="宋体"/>
      <w:b/>
      <w:bCs/>
      <w:kern w:val="2"/>
      <w:sz w:val="30"/>
      <w:szCs w:val="32"/>
    </w:rPr>
  </w:style>
  <w:style w:type="character" w:customStyle="1" w:styleId="281">
    <w:name w:val="页眉 Char2"/>
    <w:qFormat/>
    <w:uiPriority w:val="0"/>
    <w:rPr>
      <w:kern w:val="2"/>
      <w:sz w:val="18"/>
      <w:szCs w:val="18"/>
    </w:rPr>
  </w:style>
  <w:style w:type="character" w:customStyle="1" w:styleId="282">
    <w:name w:val="fontstyle01"/>
    <w:basedOn w:val="56"/>
    <w:semiHidden/>
    <w:qFormat/>
    <w:uiPriority w:val="4"/>
    <w:rPr>
      <w:rFonts w:ascii="TimesNewRomanPSMT" w:hAnsi="TimesNewRomanPSMT" w:eastAsia="TimesNewRomanPSMT" w:cs="TimesNewRomanPSMT"/>
      <w:color w:val="000000"/>
      <w:sz w:val="22"/>
      <w:szCs w:val="22"/>
    </w:rPr>
  </w:style>
  <w:style w:type="paragraph" w:customStyle="1" w:styleId="283">
    <w:name w:val="兰奎元桃园铅锌矿正文"/>
    <w:basedOn w:val="1"/>
    <w:link w:val="371"/>
    <w:semiHidden/>
    <w:qFormat/>
    <w:uiPriority w:val="4"/>
    <w:pPr>
      <w:spacing w:line="360" w:lineRule="auto"/>
      <w:ind w:firstLine="720" w:firstLineChars="200"/>
    </w:pPr>
    <w:rPr>
      <w:rFonts w:ascii="宋体" w:hAnsi="仿宋_GB2312" w:cs="宋体"/>
      <w:sz w:val="24"/>
    </w:rPr>
  </w:style>
  <w:style w:type="paragraph" w:customStyle="1" w:styleId="284">
    <w:name w:val="三家子正文"/>
    <w:basedOn w:val="1"/>
    <w:semiHidden/>
    <w:qFormat/>
    <w:uiPriority w:val="4"/>
    <w:pPr>
      <w:spacing w:line="500" w:lineRule="exact"/>
      <w:ind w:firstLine="480" w:firstLineChars="200"/>
    </w:pPr>
    <w:rPr>
      <w:rFonts w:cs="宋体"/>
      <w:sz w:val="24"/>
      <w:szCs w:val="20"/>
    </w:rPr>
  </w:style>
  <w:style w:type="character" w:customStyle="1" w:styleId="285">
    <w:name w:val="font91"/>
    <w:basedOn w:val="56"/>
    <w:qFormat/>
    <w:uiPriority w:val="0"/>
    <w:rPr>
      <w:rFonts w:hint="eastAsia" w:ascii="宋体" w:hAnsi="宋体" w:eastAsia="宋体" w:cs="宋体"/>
      <w:color w:val="000000"/>
      <w:sz w:val="21"/>
      <w:szCs w:val="21"/>
      <w:u w:val="none"/>
    </w:rPr>
  </w:style>
  <w:style w:type="character" w:customStyle="1" w:styleId="286">
    <w:name w:val="font101"/>
    <w:basedOn w:val="56"/>
    <w:semiHidden/>
    <w:qFormat/>
    <w:uiPriority w:val="4"/>
    <w:rPr>
      <w:rFonts w:hint="eastAsia" w:ascii="宋体" w:hAnsi="宋体" w:eastAsia="宋体" w:cs="宋体"/>
      <w:color w:val="000000"/>
      <w:sz w:val="21"/>
      <w:szCs w:val="21"/>
      <w:u w:val="none"/>
    </w:rPr>
  </w:style>
  <w:style w:type="character" w:customStyle="1" w:styleId="287">
    <w:name w:val="font81"/>
    <w:basedOn w:val="56"/>
    <w:qFormat/>
    <w:uiPriority w:val="0"/>
    <w:rPr>
      <w:rFonts w:hint="default" w:ascii="Times New Roman" w:hAnsi="Times New Roman" w:cs="Times New Roman"/>
      <w:color w:val="000000"/>
      <w:sz w:val="21"/>
      <w:szCs w:val="21"/>
      <w:u w:val="none"/>
    </w:rPr>
  </w:style>
  <w:style w:type="character" w:customStyle="1" w:styleId="288">
    <w:name w:val="font71"/>
    <w:basedOn w:val="56"/>
    <w:qFormat/>
    <w:uiPriority w:val="0"/>
    <w:rPr>
      <w:rFonts w:hint="eastAsia" w:ascii="宋体" w:hAnsi="宋体" w:eastAsia="宋体" w:cs="宋体"/>
      <w:color w:val="000000"/>
      <w:sz w:val="21"/>
      <w:szCs w:val="21"/>
      <w:u w:val="none"/>
    </w:rPr>
  </w:style>
  <w:style w:type="paragraph" w:customStyle="1" w:styleId="289">
    <w:name w:val="标正"/>
    <w:basedOn w:val="1"/>
    <w:semiHidden/>
    <w:qFormat/>
    <w:uiPriority w:val="4"/>
    <w:pPr>
      <w:spacing w:line="480" w:lineRule="exact"/>
      <w:ind w:firstLine="560" w:firstLineChars="200"/>
      <w:jc w:val="left"/>
    </w:pPr>
    <w:rPr>
      <w:rFonts w:ascii="仿宋_GB2312" w:eastAsia="仿宋_GB2312"/>
      <w:kern w:val="0"/>
      <w:sz w:val="28"/>
    </w:rPr>
  </w:style>
  <w:style w:type="paragraph" w:customStyle="1" w:styleId="290">
    <w:name w:val="标3"/>
    <w:basedOn w:val="1"/>
    <w:semiHidden/>
    <w:qFormat/>
    <w:uiPriority w:val="4"/>
    <w:pPr>
      <w:spacing w:line="360" w:lineRule="auto"/>
      <w:ind w:firstLine="720" w:firstLineChars="200"/>
      <w:outlineLvl w:val="2"/>
    </w:pPr>
    <w:rPr>
      <w:rFonts w:ascii="宋体" w:hAnsi="宋体" w:eastAsia="仿宋"/>
      <w:b/>
      <w:sz w:val="28"/>
      <w:szCs w:val="28"/>
    </w:rPr>
  </w:style>
  <w:style w:type="paragraph" w:customStyle="1" w:styleId="291">
    <w:name w:val="标4"/>
    <w:basedOn w:val="1"/>
    <w:semiHidden/>
    <w:qFormat/>
    <w:uiPriority w:val="4"/>
    <w:pPr>
      <w:spacing w:line="480" w:lineRule="exact"/>
      <w:ind w:firstLine="280" w:firstLineChars="100"/>
      <w:outlineLvl w:val="3"/>
    </w:pPr>
    <w:rPr>
      <w:rFonts w:ascii="仿宋_GB2312" w:eastAsia="仿宋_GB2312"/>
      <w:sz w:val="28"/>
      <w:szCs w:val="28"/>
    </w:rPr>
  </w:style>
  <w:style w:type="paragraph" w:customStyle="1" w:styleId="292">
    <w:name w:val="样式2"/>
    <w:basedOn w:val="1"/>
    <w:qFormat/>
    <w:uiPriority w:val="0"/>
    <w:pPr>
      <w:spacing w:line="480" w:lineRule="exact"/>
      <w:ind w:right="-50" w:rightChars="-24" w:firstLine="480" w:firstLineChars="200"/>
    </w:pPr>
    <w:rPr>
      <w:rFonts w:ascii="宋体" w:hAnsi="宋体" w:eastAsia="仿宋"/>
      <w:sz w:val="24"/>
      <w:szCs w:val="20"/>
    </w:rPr>
  </w:style>
  <w:style w:type="paragraph" w:customStyle="1" w:styleId="293">
    <w:name w:val="样式 样式 宋体 四号 首行缩进:  11.3 毫米 + 首行缩进:  2 字符"/>
    <w:basedOn w:val="294"/>
    <w:semiHidden/>
    <w:qFormat/>
    <w:uiPriority w:val="4"/>
    <w:pPr>
      <w:spacing w:line="560" w:lineRule="exact"/>
    </w:pPr>
    <w:rPr>
      <w:rFonts w:ascii="Times New Roman" w:hAnsi="Times New Roman"/>
    </w:rPr>
  </w:style>
  <w:style w:type="paragraph" w:customStyle="1" w:styleId="294">
    <w:name w:val="样式 宋体 四号 首行缩进:  11.3 毫米"/>
    <w:basedOn w:val="1"/>
    <w:semiHidden/>
    <w:qFormat/>
    <w:uiPriority w:val="4"/>
    <w:pPr>
      <w:spacing w:line="360" w:lineRule="auto"/>
      <w:ind w:firstLine="200" w:firstLineChars="200"/>
    </w:pPr>
    <w:rPr>
      <w:rFonts w:ascii="宋体" w:hAnsi="宋体" w:eastAsia="仿宋" w:cs="宋体"/>
      <w:sz w:val="28"/>
      <w:szCs w:val="20"/>
    </w:rPr>
  </w:style>
  <w:style w:type="table" w:customStyle="1" w:styleId="295">
    <w:name w:val="网格型1"/>
    <w:basedOn w:val="54"/>
    <w:unhideWhenUsed/>
    <w:qFormat/>
    <w:uiPriority w:val="99"/>
    <w:pPr>
      <w:widowControl w:val="0"/>
    </w:pPr>
    <w:rPr>
      <w:rFonts w:hint="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6">
    <w:name w:val="标题 1 Char1"/>
    <w:qFormat/>
    <w:locked/>
    <w:uiPriority w:val="4"/>
    <w:rPr>
      <w:rFonts w:ascii="仿宋" w:hAnsi="仿宋" w:eastAsia="仿宋" w:cs="仿宋"/>
      <w:b/>
      <w:kern w:val="44"/>
      <w:sz w:val="40"/>
      <w:szCs w:val="21"/>
    </w:rPr>
  </w:style>
  <w:style w:type="character" w:customStyle="1" w:styleId="297">
    <w:name w:val="批注框文本 Char2"/>
    <w:basedOn w:val="56"/>
    <w:semiHidden/>
    <w:qFormat/>
    <w:uiPriority w:val="4"/>
    <w:rPr>
      <w:rFonts w:eastAsia="仿宋"/>
      <w:kern w:val="2"/>
      <w:sz w:val="18"/>
      <w:szCs w:val="18"/>
    </w:rPr>
  </w:style>
  <w:style w:type="paragraph" w:customStyle="1" w:styleId="298">
    <w:name w:val="标题1"/>
    <w:basedOn w:val="1"/>
    <w:qFormat/>
    <w:uiPriority w:val="0"/>
    <w:pPr>
      <w:keepNext/>
      <w:keepLines/>
      <w:tabs>
        <w:tab w:val="left" w:pos="0"/>
        <w:tab w:val="left" w:pos="432"/>
      </w:tabs>
      <w:spacing w:beforeLines="50" w:afterLines="50" w:line="360" w:lineRule="auto"/>
      <w:ind w:left="425"/>
      <w:jc w:val="center"/>
      <w:outlineLvl w:val="0"/>
    </w:pPr>
    <w:rPr>
      <w:rFonts w:ascii="仿宋" w:hAnsi="仿宋" w:eastAsia="仿宋" w:cs="仿宋"/>
      <w:b/>
      <w:kern w:val="44"/>
      <w:sz w:val="40"/>
      <w:szCs w:val="21"/>
    </w:rPr>
  </w:style>
  <w:style w:type="paragraph" w:customStyle="1" w:styleId="299">
    <w:name w:val="标题2"/>
    <w:basedOn w:val="1"/>
    <w:qFormat/>
    <w:uiPriority w:val="0"/>
    <w:pPr>
      <w:keepNext/>
      <w:keepLines/>
      <w:tabs>
        <w:tab w:val="left" w:pos="0"/>
        <w:tab w:val="left" w:pos="575"/>
      </w:tabs>
      <w:spacing w:line="360" w:lineRule="auto"/>
      <w:ind w:left="567"/>
      <w:outlineLvl w:val="1"/>
    </w:pPr>
    <w:rPr>
      <w:rFonts w:ascii="仿宋" w:hAnsi="仿宋" w:eastAsia="仿宋" w:cs="仿宋"/>
      <w:b/>
      <w:sz w:val="32"/>
      <w:szCs w:val="20"/>
    </w:rPr>
  </w:style>
  <w:style w:type="character" w:customStyle="1" w:styleId="300">
    <w:name w:val="未处理的提及1"/>
    <w:basedOn w:val="56"/>
    <w:unhideWhenUsed/>
    <w:qFormat/>
    <w:uiPriority w:val="99"/>
    <w:rPr>
      <w:color w:val="605E5C"/>
      <w:shd w:val="clear" w:color="auto" w:fill="E1DFDD"/>
    </w:rPr>
  </w:style>
  <w:style w:type="table" w:customStyle="1" w:styleId="301">
    <w:name w:val="网格型2"/>
    <w:basedOn w:val="54"/>
    <w:unhideWhenUsed/>
    <w:qFormat/>
    <w:uiPriority w:val="99"/>
    <w:pPr>
      <w:widowControl w:val="0"/>
    </w:pPr>
    <w:rPr>
      <w:rFonts w:hint="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2">
    <w:name w:val="Body text|1"/>
    <w:basedOn w:val="1"/>
    <w:qFormat/>
    <w:uiPriority w:val="0"/>
    <w:pPr>
      <w:spacing w:after="250"/>
      <w:jc w:val="left"/>
    </w:pPr>
    <w:rPr>
      <w:rFonts w:ascii="宋体" w:hAnsi="宋体" w:cs="宋体"/>
      <w:color w:val="000000"/>
      <w:kern w:val="0"/>
      <w:sz w:val="26"/>
      <w:szCs w:val="26"/>
      <w:lang w:val="zh-TW" w:eastAsia="zh-TW" w:bidi="zh-TW"/>
    </w:rPr>
  </w:style>
  <w:style w:type="table" w:customStyle="1" w:styleId="303">
    <w:name w:val="网格型4"/>
    <w:basedOn w:val="5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4">
    <w:name w:val="文档结构图 Char2"/>
    <w:basedOn w:val="56"/>
    <w:semiHidden/>
    <w:qFormat/>
    <w:uiPriority w:val="4"/>
    <w:rPr>
      <w:rFonts w:ascii="仿宋" w:hAnsi="仿宋" w:eastAsia="仿宋"/>
      <w:kern w:val="2"/>
      <w:sz w:val="28"/>
      <w:szCs w:val="24"/>
      <w:shd w:val="clear" w:color="auto" w:fill="000080"/>
    </w:rPr>
  </w:style>
  <w:style w:type="character" w:customStyle="1" w:styleId="305">
    <w:name w:val="正文文本 字符"/>
    <w:basedOn w:val="56"/>
    <w:semiHidden/>
    <w:qFormat/>
    <w:uiPriority w:val="4"/>
    <w:rPr>
      <w:rFonts w:eastAsia="宋体"/>
      <w:kern w:val="2"/>
      <w:sz w:val="28"/>
      <w:szCs w:val="24"/>
      <w:lang w:val="en-US" w:eastAsia="zh-CN" w:bidi="ar-SA"/>
    </w:rPr>
  </w:style>
  <w:style w:type="character" w:customStyle="1" w:styleId="306">
    <w:name w:val="正文文本缩进 Char2"/>
    <w:basedOn w:val="56"/>
    <w:semiHidden/>
    <w:qFormat/>
    <w:uiPriority w:val="4"/>
    <w:rPr>
      <w:rFonts w:ascii="宋体" w:eastAsia="仿宋"/>
      <w:kern w:val="2"/>
      <w:sz w:val="30"/>
    </w:rPr>
  </w:style>
  <w:style w:type="character" w:customStyle="1" w:styleId="307">
    <w:name w:val="纯文本 Char1"/>
    <w:basedOn w:val="56"/>
    <w:qFormat/>
    <w:uiPriority w:val="0"/>
    <w:rPr>
      <w:rFonts w:ascii="宋体" w:hAnsi="Courier New" w:cs="Century"/>
      <w:kern w:val="2"/>
      <w:sz w:val="21"/>
      <w:szCs w:val="21"/>
      <w:vertAlign w:val="superscript"/>
    </w:rPr>
  </w:style>
  <w:style w:type="character" w:customStyle="1" w:styleId="308">
    <w:name w:val="日期 Char2"/>
    <w:basedOn w:val="56"/>
    <w:semiHidden/>
    <w:qFormat/>
    <w:uiPriority w:val="4"/>
    <w:rPr>
      <w:rFonts w:ascii="仿宋" w:hAnsi="仿宋"/>
      <w:kern w:val="2"/>
      <w:sz w:val="21"/>
      <w:szCs w:val="24"/>
    </w:rPr>
  </w:style>
  <w:style w:type="character" w:customStyle="1" w:styleId="309">
    <w:name w:val="脚注文本 Char"/>
    <w:basedOn w:val="56"/>
    <w:link w:val="40"/>
    <w:qFormat/>
    <w:uiPriority w:val="4"/>
    <w:rPr>
      <w:rFonts w:ascii="仿宋" w:hAnsi="仿宋" w:eastAsia="仿宋"/>
      <w:kern w:val="2"/>
      <w:sz w:val="18"/>
      <w:szCs w:val="18"/>
    </w:rPr>
  </w:style>
  <w:style w:type="character" w:customStyle="1" w:styleId="310">
    <w:name w:val="HTML 预设格式 Char"/>
    <w:basedOn w:val="56"/>
    <w:link w:val="47"/>
    <w:qFormat/>
    <w:uiPriority w:val="4"/>
    <w:rPr>
      <w:rFonts w:ascii="Arial" w:hAnsi="Arial" w:eastAsia="仿宋" w:cs="Arial"/>
      <w:sz w:val="24"/>
      <w:szCs w:val="24"/>
    </w:rPr>
  </w:style>
  <w:style w:type="character" w:customStyle="1" w:styleId="311">
    <w:name w:val="正文文本 Char1"/>
    <w:basedOn w:val="56"/>
    <w:semiHidden/>
    <w:qFormat/>
    <w:uiPriority w:val="4"/>
    <w:rPr>
      <w:rFonts w:ascii="宋体" w:hAnsi="宋体" w:cs="宋体"/>
      <w:kern w:val="2"/>
      <w:sz w:val="28"/>
      <w:szCs w:val="28"/>
      <w:lang w:val="zh-CN" w:bidi="zh-CN"/>
    </w:rPr>
  </w:style>
  <w:style w:type="character" w:customStyle="1" w:styleId="312">
    <w:name w:val="正文首行缩进 Char3"/>
    <w:basedOn w:val="311"/>
    <w:semiHidden/>
    <w:qFormat/>
    <w:uiPriority w:val="4"/>
    <w:rPr>
      <w:rFonts w:ascii="仿宋" w:hAnsi="仿宋" w:cs="Angsana New"/>
      <w:kern w:val="2"/>
      <w:sz w:val="21"/>
      <w:szCs w:val="24"/>
      <w:lang w:val="zh-CN" w:bidi="zh-CN"/>
    </w:rPr>
  </w:style>
  <w:style w:type="character" w:customStyle="1" w:styleId="313">
    <w:name w:val="表格 Char Char"/>
    <w:basedOn w:val="56"/>
    <w:link w:val="278"/>
    <w:semiHidden/>
    <w:qFormat/>
    <w:uiPriority w:val="4"/>
    <w:rPr>
      <w:rFonts w:ascii="宋体" w:hAnsi="宋体" w:cs="宋体"/>
      <w:kern w:val="2"/>
      <w:sz w:val="24"/>
      <w:szCs w:val="28"/>
      <w:lang w:val="zh-CN" w:bidi="zh-CN"/>
    </w:rPr>
  </w:style>
  <w:style w:type="character" w:customStyle="1" w:styleId="314">
    <w:name w:val="普通文字 Char"/>
    <w:basedOn w:val="56"/>
    <w:semiHidden/>
    <w:qFormat/>
    <w:uiPriority w:val="4"/>
    <w:rPr>
      <w:rFonts w:ascii="宋体" w:hAnsi="Courier New" w:eastAsia="宋体" w:cs="Century"/>
      <w:kern w:val="2"/>
      <w:sz w:val="21"/>
      <w:szCs w:val="21"/>
      <w:vertAlign w:val="superscript"/>
      <w:lang w:val="en-US" w:eastAsia="zh-CN" w:bidi="ar-SA"/>
    </w:rPr>
  </w:style>
  <w:style w:type="character" w:customStyle="1" w:styleId="315">
    <w:name w:val="ZW Char Char"/>
    <w:basedOn w:val="56"/>
    <w:link w:val="316"/>
    <w:semiHidden/>
    <w:qFormat/>
    <w:uiPriority w:val="4"/>
    <w:rPr>
      <w:rFonts w:ascii="仿宋" w:hAnsi="仿宋"/>
      <w:kern w:val="2"/>
      <w:sz w:val="28"/>
      <w:szCs w:val="28"/>
    </w:rPr>
  </w:style>
  <w:style w:type="paragraph" w:customStyle="1" w:styleId="316">
    <w:name w:val="ZW"/>
    <w:basedOn w:val="1"/>
    <w:link w:val="315"/>
    <w:semiHidden/>
    <w:qFormat/>
    <w:uiPriority w:val="4"/>
    <w:pPr>
      <w:adjustRightInd w:val="0"/>
      <w:snapToGrid w:val="0"/>
      <w:spacing w:line="360" w:lineRule="auto"/>
      <w:ind w:firstLine="538" w:firstLineChars="192"/>
    </w:pPr>
    <w:rPr>
      <w:rFonts w:ascii="仿宋" w:hAnsi="仿宋"/>
      <w:sz w:val="28"/>
      <w:szCs w:val="28"/>
    </w:rPr>
  </w:style>
  <w:style w:type="character" w:customStyle="1" w:styleId="317">
    <w:name w:val="Char Char18"/>
    <w:basedOn w:val="56"/>
    <w:qFormat/>
    <w:uiPriority w:val="0"/>
    <w:rPr>
      <w:rFonts w:ascii="宋体" w:hAnsi="宋体" w:eastAsia="宋体"/>
      <w:b/>
      <w:color w:val="000000"/>
      <w:kern w:val="44"/>
      <w:sz w:val="48"/>
      <w:szCs w:val="48"/>
      <w:lang w:val="en-US" w:eastAsia="zh-CN" w:bidi="ar-SA"/>
    </w:rPr>
  </w:style>
  <w:style w:type="character" w:customStyle="1" w:styleId="318">
    <w:name w:val="not([class*=suffix])"/>
    <w:basedOn w:val="56"/>
    <w:semiHidden/>
    <w:qFormat/>
    <w:uiPriority w:val="4"/>
    <w:rPr>
      <w:sz w:val="19"/>
      <w:szCs w:val="19"/>
    </w:rPr>
  </w:style>
  <w:style w:type="character" w:customStyle="1" w:styleId="319">
    <w:name w:val="Char Char15"/>
    <w:basedOn w:val="56"/>
    <w:qFormat/>
    <w:uiPriority w:val="0"/>
    <w:rPr>
      <w:rFonts w:ascii="Times New Roman" w:hAnsi="Times New Roman" w:eastAsia="宋体"/>
      <w:b/>
      <w:sz w:val="36"/>
      <w:lang w:bidi="ar-SA"/>
    </w:rPr>
  </w:style>
  <w:style w:type="character" w:customStyle="1" w:styleId="320">
    <w:name w:val="标题 2 Char Char Char Char2"/>
    <w:basedOn w:val="56"/>
    <w:semiHidden/>
    <w:qFormat/>
    <w:uiPriority w:val="4"/>
    <w:rPr>
      <w:rFonts w:ascii="Times New Roman" w:hAnsi="Times New Roman" w:eastAsia="宋体"/>
      <w:b/>
      <w:bCs/>
      <w:sz w:val="28"/>
      <w:szCs w:val="30"/>
      <w:lang w:bidi="ar-SA"/>
    </w:rPr>
  </w:style>
  <w:style w:type="character" w:customStyle="1" w:styleId="321">
    <w:name w:val="样式 宋体 小四 行距: 1.5 倍行距 Char Char"/>
    <w:basedOn w:val="56"/>
    <w:link w:val="322"/>
    <w:semiHidden/>
    <w:qFormat/>
    <w:uiPriority w:val="4"/>
    <w:rPr>
      <w:rFonts w:ascii="宋体" w:hAnsi="宋体" w:cs="宋体"/>
      <w:kern w:val="2"/>
      <w:sz w:val="24"/>
    </w:rPr>
  </w:style>
  <w:style w:type="paragraph" w:customStyle="1" w:styleId="322">
    <w:name w:val="样式 宋体 小四 行距: 1.5 倍行距"/>
    <w:basedOn w:val="1"/>
    <w:link w:val="321"/>
    <w:semiHidden/>
    <w:qFormat/>
    <w:uiPriority w:val="4"/>
    <w:pPr>
      <w:autoSpaceDE w:val="0"/>
      <w:autoSpaceDN w:val="0"/>
      <w:adjustRightInd w:val="0"/>
      <w:snapToGrid w:val="0"/>
      <w:spacing w:line="360" w:lineRule="auto"/>
      <w:ind w:firstLine="480" w:firstLineChars="200"/>
    </w:pPr>
    <w:rPr>
      <w:rFonts w:ascii="宋体" w:hAnsi="宋体" w:cs="宋体"/>
      <w:sz w:val="24"/>
      <w:szCs w:val="20"/>
    </w:rPr>
  </w:style>
  <w:style w:type="character" w:customStyle="1" w:styleId="323">
    <w:name w:val="Char Char19"/>
    <w:basedOn w:val="56"/>
    <w:qFormat/>
    <w:uiPriority w:val="0"/>
    <w:rPr>
      <w:rFonts w:ascii="宋体" w:hAnsi="宋体"/>
      <w:b/>
      <w:bCs/>
      <w:color w:val="000000"/>
      <w:kern w:val="2"/>
      <w:sz w:val="32"/>
      <w:szCs w:val="32"/>
    </w:rPr>
  </w:style>
  <w:style w:type="character" w:customStyle="1" w:styleId="324">
    <w:name w:val="Char Char20"/>
    <w:basedOn w:val="56"/>
    <w:semiHidden/>
    <w:qFormat/>
    <w:uiPriority w:val="4"/>
    <w:rPr>
      <w:rFonts w:ascii="宋体" w:hAnsi="宋体" w:eastAsia="宋体"/>
      <w:b/>
      <w:bCs/>
      <w:kern w:val="44"/>
      <w:sz w:val="44"/>
      <w:szCs w:val="44"/>
      <w:lang w:val="en-US" w:eastAsia="zh-CN" w:bidi="ar-SA"/>
    </w:rPr>
  </w:style>
  <w:style w:type="character" w:customStyle="1" w:styleId="325">
    <w:name w:val="style4"/>
    <w:basedOn w:val="56"/>
    <w:semiHidden/>
    <w:qFormat/>
    <w:uiPriority w:val="4"/>
  </w:style>
  <w:style w:type="character" w:customStyle="1" w:styleId="326">
    <w:name w:val="标题 2 Char Char Char Char"/>
    <w:basedOn w:val="56"/>
    <w:semiHidden/>
    <w:qFormat/>
    <w:uiPriority w:val="4"/>
    <w:rPr>
      <w:rFonts w:ascii="宋体" w:hAnsi="宋体" w:eastAsia="宋体"/>
      <w:b/>
      <w:bCs/>
      <w:kern w:val="2"/>
      <w:sz w:val="36"/>
      <w:szCs w:val="36"/>
      <w:lang w:val="en-US" w:eastAsia="zh-CN" w:bidi="ar-SA"/>
    </w:rPr>
  </w:style>
  <w:style w:type="character" w:customStyle="1" w:styleId="327">
    <w:name w:val="Char Char21"/>
    <w:basedOn w:val="56"/>
    <w:semiHidden/>
    <w:qFormat/>
    <w:uiPriority w:val="4"/>
    <w:rPr>
      <w:rFonts w:ascii="宋体" w:eastAsia="宋体"/>
      <w:kern w:val="2"/>
      <w:sz w:val="24"/>
      <w:lang w:val="en-US" w:eastAsia="zh-CN" w:bidi="ar-SA"/>
    </w:rPr>
  </w:style>
  <w:style w:type="character" w:customStyle="1" w:styleId="328">
    <w:name w:val="样式 表格1 Char Char Char"/>
    <w:basedOn w:val="56"/>
    <w:link w:val="329"/>
    <w:semiHidden/>
    <w:qFormat/>
    <w:uiPriority w:val="4"/>
    <w:rPr>
      <w:rFonts w:ascii="宋体" w:hAnsi="仿宋"/>
      <w:sz w:val="28"/>
      <w:szCs w:val="28"/>
    </w:rPr>
  </w:style>
  <w:style w:type="paragraph" w:customStyle="1" w:styleId="329">
    <w:name w:val="样式 表格1 Char"/>
    <w:basedOn w:val="1"/>
    <w:next w:val="6"/>
    <w:link w:val="328"/>
    <w:semiHidden/>
    <w:qFormat/>
    <w:uiPriority w:val="4"/>
    <w:pPr>
      <w:adjustRightInd w:val="0"/>
      <w:snapToGrid w:val="0"/>
      <w:spacing w:line="360" w:lineRule="auto"/>
      <w:jc w:val="center"/>
      <w:outlineLvl w:val="5"/>
    </w:pPr>
    <w:rPr>
      <w:rFonts w:ascii="宋体" w:hAnsi="仿宋"/>
      <w:kern w:val="0"/>
      <w:sz w:val="28"/>
      <w:szCs w:val="28"/>
    </w:rPr>
  </w:style>
  <w:style w:type="character" w:customStyle="1" w:styleId="330">
    <w:name w:val="apple-style-span"/>
    <w:basedOn w:val="56"/>
    <w:semiHidden/>
    <w:qFormat/>
    <w:uiPriority w:val="4"/>
  </w:style>
  <w:style w:type="character" w:customStyle="1" w:styleId="331">
    <w:name w:val="songcm_txt181"/>
    <w:basedOn w:val="56"/>
    <w:semiHidden/>
    <w:qFormat/>
    <w:uiPriority w:val="4"/>
    <w:rPr>
      <w:rFonts w:hint="eastAsia" w:ascii="黑体" w:eastAsia="黑体"/>
      <w:color w:val="000000"/>
      <w:sz w:val="27"/>
      <w:szCs w:val="27"/>
    </w:rPr>
  </w:style>
  <w:style w:type="character" w:customStyle="1" w:styleId="332">
    <w:name w:val="B3 Char Char"/>
    <w:basedOn w:val="56"/>
    <w:link w:val="333"/>
    <w:semiHidden/>
    <w:qFormat/>
    <w:uiPriority w:val="4"/>
    <w:rPr>
      <w:rFonts w:ascii="仿宋" w:hAnsi="仿宋"/>
      <w:b/>
      <w:kern w:val="2"/>
      <w:sz w:val="28"/>
      <w:szCs w:val="28"/>
    </w:rPr>
  </w:style>
  <w:style w:type="paragraph" w:customStyle="1" w:styleId="333">
    <w:name w:val="B3"/>
    <w:basedOn w:val="1"/>
    <w:link w:val="332"/>
    <w:semiHidden/>
    <w:qFormat/>
    <w:uiPriority w:val="4"/>
    <w:pPr>
      <w:adjustRightInd w:val="0"/>
      <w:snapToGrid w:val="0"/>
      <w:spacing w:line="360" w:lineRule="auto"/>
      <w:ind w:firstLine="538" w:firstLineChars="192"/>
    </w:pPr>
    <w:rPr>
      <w:rFonts w:ascii="仿宋" w:hAnsi="仿宋"/>
      <w:b/>
      <w:sz w:val="28"/>
      <w:szCs w:val="28"/>
    </w:rPr>
  </w:style>
  <w:style w:type="character" w:customStyle="1" w:styleId="334">
    <w:name w:val="标准正文 Char Char"/>
    <w:basedOn w:val="56"/>
    <w:link w:val="335"/>
    <w:semiHidden/>
    <w:qFormat/>
    <w:uiPriority w:val="4"/>
    <w:rPr>
      <w:rFonts w:ascii="仿宋" w:hAnsi="仿宋" w:cs="宋体"/>
      <w:kern w:val="2"/>
      <w:sz w:val="30"/>
    </w:rPr>
  </w:style>
  <w:style w:type="paragraph" w:customStyle="1" w:styleId="335">
    <w:name w:val="标准正文"/>
    <w:basedOn w:val="1"/>
    <w:link w:val="334"/>
    <w:semiHidden/>
    <w:qFormat/>
    <w:uiPriority w:val="4"/>
    <w:pPr>
      <w:autoSpaceDE w:val="0"/>
      <w:autoSpaceDN w:val="0"/>
      <w:adjustRightInd w:val="0"/>
      <w:snapToGrid w:val="0"/>
      <w:spacing w:line="360" w:lineRule="auto"/>
      <w:ind w:firstLine="600" w:firstLineChars="200"/>
    </w:pPr>
    <w:rPr>
      <w:rFonts w:ascii="仿宋" w:hAnsi="仿宋" w:cs="宋体"/>
      <w:sz w:val="30"/>
      <w:szCs w:val="20"/>
    </w:rPr>
  </w:style>
  <w:style w:type="character" w:customStyle="1" w:styleId="336">
    <w:name w:val="首行缩进:  2 字符 Char Char"/>
    <w:basedOn w:val="56"/>
    <w:link w:val="337"/>
    <w:semiHidden/>
    <w:qFormat/>
    <w:uiPriority w:val="4"/>
    <w:rPr>
      <w:rFonts w:ascii="仿宋" w:hAnsi="仿宋" w:cs="宋体"/>
      <w:sz w:val="28"/>
    </w:rPr>
  </w:style>
  <w:style w:type="paragraph" w:customStyle="1" w:styleId="337">
    <w:name w:val="首行缩进:  2 字符"/>
    <w:basedOn w:val="1"/>
    <w:link w:val="336"/>
    <w:semiHidden/>
    <w:qFormat/>
    <w:uiPriority w:val="4"/>
    <w:pPr>
      <w:adjustRightInd w:val="0"/>
      <w:snapToGrid w:val="0"/>
      <w:spacing w:line="500" w:lineRule="exact"/>
      <w:ind w:firstLine="200" w:firstLineChars="200"/>
      <w:jc w:val="left"/>
    </w:pPr>
    <w:rPr>
      <w:rFonts w:ascii="仿宋" w:hAnsi="仿宋" w:cs="宋体"/>
      <w:kern w:val="0"/>
      <w:sz w:val="28"/>
      <w:szCs w:val="20"/>
    </w:rPr>
  </w:style>
  <w:style w:type="character" w:customStyle="1" w:styleId="338">
    <w:name w:val="正文文本缩进 Char1"/>
    <w:basedOn w:val="56"/>
    <w:semiHidden/>
    <w:qFormat/>
    <w:uiPriority w:val="0"/>
    <w:rPr>
      <w:rFonts w:cs="Angsana New"/>
      <w:kern w:val="2"/>
      <w:sz w:val="21"/>
      <w:szCs w:val="24"/>
      <w:lang w:bidi="th-TH"/>
    </w:rPr>
  </w:style>
  <w:style w:type="character" w:customStyle="1" w:styleId="339">
    <w:name w:val="Char Char6"/>
    <w:basedOn w:val="56"/>
    <w:semiHidden/>
    <w:qFormat/>
    <w:uiPriority w:val="4"/>
    <w:rPr>
      <w:rFonts w:ascii="宋体" w:eastAsia="宋体"/>
      <w:kern w:val="2"/>
      <w:sz w:val="30"/>
      <w:lang w:val="en-US" w:eastAsia="zh-CN" w:bidi="ar-SA"/>
    </w:rPr>
  </w:style>
  <w:style w:type="character" w:customStyle="1" w:styleId="340">
    <w:name w:val="普通文字 Char Char Char1"/>
    <w:basedOn w:val="56"/>
    <w:semiHidden/>
    <w:qFormat/>
    <w:uiPriority w:val="4"/>
    <w:rPr>
      <w:rFonts w:ascii="宋体" w:hAnsi="Courier New" w:eastAsia="宋体" w:cs="Courier New"/>
      <w:sz w:val="21"/>
      <w:szCs w:val="21"/>
      <w:lang w:val="en-US" w:eastAsia="zh-CN" w:bidi="ar-SA"/>
    </w:rPr>
  </w:style>
  <w:style w:type="character" w:customStyle="1" w:styleId="341">
    <w:name w:val="Char Char5"/>
    <w:basedOn w:val="56"/>
    <w:semiHidden/>
    <w:qFormat/>
    <w:uiPriority w:val="4"/>
    <w:rPr>
      <w:rFonts w:eastAsia="宋体"/>
      <w:kern w:val="2"/>
      <w:sz w:val="18"/>
      <w:lang w:val="en-US" w:eastAsia="zh-CN" w:bidi="ar-SA"/>
    </w:rPr>
  </w:style>
  <w:style w:type="character" w:customStyle="1" w:styleId="342">
    <w:name w:val="二级条标题 Char Char"/>
    <w:basedOn w:val="56"/>
    <w:link w:val="343"/>
    <w:semiHidden/>
    <w:qFormat/>
    <w:uiPriority w:val="4"/>
    <w:rPr>
      <w:rFonts w:eastAsia="黑体"/>
      <w:sz w:val="21"/>
    </w:rPr>
  </w:style>
  <w:style w:type="paragraph" w:customStyle="1" w:styleId="343">
    <w:name w:val="二级条标题"/>
    <w:basedOn w:val="344"/>
    <w:next w:val="144"/>
    <w:link w:val="342"/>
    <w:semiHidden/>
    <w:qFormat/>
    <w:uiPriority w:val="4"/>
    <w:pPr>
      <w:numPr>
        <w:numId w:val="0"/>
      </w:numPr>
      <w:tabs>
        <w:tab w:val="left" w:pos="374"/>
        <w:tab w:val="left" w:pos="794"/>
      </w:tabs>
      <w:outlineLvl w:val="3"/>
    </w:pPr>
  </w:style>
  <w:style w:type="paragraph" w:customStyle="1" w:styleId="344">
    <w:name w:val="一级条标题"/>
    <w:next w:val="144"/>
    <w:semiHidden/>
    <w:qFormat/>
    <w:uiPriority w:val="4"/>
    <w:pPr>
      <w:numPr>
        <w:ilvl w:val="0"/>
        <w:numId w:val="1"/>
      </w:numPr>
      <w:tabs>
        <w:tab w:val="left" w:pos="374"/>
      </w:tabs>
      <w:outlineLvl w:val="2"/>
    </w:pPr>
    <w:rPr>
      <w:rFonts w:ascii="Times New Roman" w:hAnsi="Times New Roman" w:eastAsia="黑体" w:cs="Times New Roman"/>
      <w:sz w:val="21"/>
      <w:lang w:val="en-US" w:eastAsia="zh-CN" w:bidi="ar-SA"/>
    </w:rPr>
  </w:style>
  <w:style w:type="character" w:customStyle="1" w:styleId="345">
    <w:name w:val="jn_1"/>
    <w:basedOn w:val="56"/>
    <w:semiHidden/>
    <w:qFormat/>
    <w:uiPriority w:val="4"/>
  </w:style>
  <w:style w:type="character" w:customStyle="1" w:styleId="346">
    <w:name w:val="Char Char17"/>
    <w:basedOn w:val="56"/>
    <w:qFormat/>
    <w:uiPriority w:val="0"/>
    <w:rPr>
      <w:rFonts w:ascii="宋体" w:hAnsi="宋体"/>
      <w:b/>
      <w:kern w:val="2"/>
      <w:sz w:val="32"/>
    </w:rPr>
  </w:style>
  <w:style w:type="character" w:customStyle="1" w:styleId="347">
    <w:name w:val="hps"/>
    <w:basedOn w:val="56"/>
    <w:semiHidden/>
    <w:qFormat/>
    <w:uiPriority w:val="4"/>
  </w:style>
  <w:style w:type="character" w:customStyle="1" w:styleId="348">
    <w:name w:val="Char Char4"/>
    <w:basedOn w:val="56"/>
    <w:semiHidden/>
    <w:qFormat/>
    <w:uiPriority w:val="4"/>
    <w:rPr>
      <w:rFonts w:eastAsia="宋体"/>
      <w:b/>
      <w:bCs/>
      <w:kern w:val="44"/>
      <w:sz w:val="44"/>
      <w:szCs w:val="44"/>
      <w:lang w:val="en-US" w:eastAsia="zh-CN" w:bidi="ar-SA"/>
    </w:rPr>
  </w:style>
  <w:style w:type="character" w:customStyle="1" w:styleId="349">
    <w:name w:val="样式 正文 +"/>
    <w:semiHidden/>
    <w:qFormat/>
    <w:uiPriority w:val="4"/>
    <w:rPr>
      <w:rFonts w:eastAsia="仿宋_GB2312"/>
      <w:spacing w:val="0"/>
      <w:w w:val="100"/>
      <w:kern w:val="28"/>
      <w:position w:val="0"/>
      <w:sz w:val="28"/>
      <w:szCs w:val="28"/>
      <w:vertAlign w:val="baseline"/>
    </w:rPr>
  </w:style>
  <w:style w:type="character" w:customStyle="1" w:styleId="350">
    <w:name w:val="样式 表格"/>
    <w:basedOn w:val="349"/>
    <w:semiHidden/>
    <w:qFormat/>
    <w:uiPriority w:val="4"/>
    <w:rPr>
      <w:rFonts w:ascii="Times New Roman" w:hAnsi="Times New Roman" w:eastAsia="仿宋_GB2312"/>
      <w:spacing w:val="0"/>
      <w:w w:val="100"/>
      <w:kern w:val="28"/>
      <w:position w:val="0"/>
      <w:sz w:val="21"/>
      <w:szCs w:val="21"/>
      <w:vertAlign w:val="baseline"/>
    </w:rPr>
  </w:style>
  <w:style w:type="character" w:customStyle="1" w:styleId="351">
    <w:name w:val="Char Char3"/>
    <w:basedOn w:val="56"/>
    <w:semiHidden/>
    <w:qFormat/>
    <w:uiPriority w:val="4"/>
    <w:rPr>
      <w:rFonts w:ascii="Arial" w:hAnsi="Arial" w:eastAsia="黑体"/>
      <w:b/>
      <w:bCs/>
      <w:kern w:val="2"/>
      <w:sz w:val="32"/>
      <w:szCs w:val="32"/>
      <w:lang w:val="en-US" w:eastAsia="zh-CN" w:bidi="ar-SA"/>
    </w:rPr>
  </w:style>
  <w:style w:type="character" w:customStyle="1" w:styleId="352">
    <w:name w:val="16"/>
    <w:basedOn w:val="56"/>
    <w:semiHidden/>
    <w:qFormat/>
    <w:uiPriority w:val="4"/>
    <w:rPr>
      <w:rFonts w:hint="default" w:ascii="Times New Roman" w:hAnsi="Times New Roman" w:cs="Times New Roman"/>
      <w:b/>
      <w:bCs/>
      <w:sz w:val="28"/>
      <w:szCs w:val="28"/>
    </w:rPr>
  </w:style>
  <w:style w:type="character" w:customStyle="1" w:styleId="353">
    <w:name w:val="15"/>
    <w:basedOn w:val="56"/>
    <w:semiHidden/>
    <w:qFormat/>
    <w:uiPriority w:val="4"/>
    <w:rPr>
      <w:rFonts w:hint="default" w:ascii="Times New Roman" w:hAnsi="Times New Roman"/>
      <w:color w:val="0000FF"/>
      <w:sz w:val="20"/>
      <w:u w:val="single"/>
    </w:rPr>
  </w:style>
  <w:style w:type="character" w:customStyle="1" w:styleId="354">
    <w:name w:val="批注框文本 Char1"/>
    <w:basedOn w:val="56"/>
    <w:qFormat/>
    <w:uiPriority w:val="0"/>
    <w:rPr>
      <w:rFonts w:cs="Angsana New"/>
      <w:kern w:val="2"/>
      <w:sz w:val="18"/>
      <w:szCs w:val="22"/>
      <w:lang w:bidi="th-TH"/>
    </w:rPr>
  </w:style>
  <w:style w:type="character" w:customStyle="1" w:styleId="355">
    <w:name w:val="样式 首行缩进:  1.92 字符 Char Char"/>
    <w:basedOn w:val="56"/>
    <w:link w:val="356"/>
    <w:semiHidden/>
    <w:qFormat/>
    <w:uiPriority w:val="4"/>
    <w:rPr>
      <w:rFonts w:ascii="宋体" w:hAnsi="宋体" w:cs="宋体"/>
      <w:kern w:val="2"/>
      <w:sz w:val="28"/>
    </w:rPr>
  </w:style>
  <w:style w:type="paragraph" w:customStyle="1" w:styleId="356">
    <w:name w:val="样式 首行缩进:  1.92 字符"/>
    <w:basedOn w:val="1"/>
    <w:link w:val="355"/>
    <w:semiHidden/>
    <w:qFormat/>
    <w:uiPriority w:val="4"/>
    <w:pPr>
      <w:autoSpaceDE w:val="0"/>
      <w:autoSpaceDN w:val="0"/>
      <w:adjustRightInd w:val="0"/>
      <w:snapToGrid w:val="0"/>
      <w:spacing w:line="360" w:lineRule="auto"/>
      <w:ind w:firstLine="560" w:firstLineChars="200"/>
    </w:pPr>
    <w:rPr>
      <w:rFonts w:ascii="宋体" w:hAnsi="宋体" w:cs="宋体"/>
      <w:sz w:val="28"/>
      <w:szCs w:val="20"/>
    </w:rPr>
  </w:style>
  <w:style w:type="character" w:customStyle="1" w:styleId="357">
    <w:name w:val="标题 1 Char Char"/>
    <w:basedOn w:val="56"/>
    <w:semiHidden/>
    <w:qFormat/>
    <w:uiPriority w:val="4"/>
    <w:rPr>
      <w:rFonts w:eastAsia="宋体"/>
      <w:b/>
      <w:kern w:val="44"/>
      <w:sz w:val="44"/>
      <w:lang w:val="en-US" w:eastAsia="zh-CN" w:bidi="ar-SA"/>
    </w:rPr>
  </w:style>
  <w:style w:type="character" w:customStyle="1" w:styleId="358">
    <w:name w:val="headline-content2"/>
    <w:basedOn w:val="56"/>
    <w:semiHidden/>
    <w:qFormat/>
    <w:uiPriority w:val="4"/>
  </w:style>
  <w:style w:type="character" w:customStyle="1" w:styleId="359">
    <w:name w:val="样式1 Char Char"/>
    <w:basedOn w:val="56"/>
    <w:semiHidden/>
    <w:qFormat/>
    <w:uiPriority w:val="4"/>
    <w:rPr>
      <w:rFonts w:ascii="仿宋_GB2312" w:hAnsi="仿宋" w:eastAsia="仿宋_GB2312"/>
      <w:sz w:val="32"/>
      <w:szCs w:val="24"/>
    </w:rPr>
  </w:style>
  <w:style w:type="character" w:customStyle="1" w:styleId="360">
    <w:name w:val="表内容 Char Char"/>
    <w:basedOn w:val="56"/>
    <w:link w:val="361"/>
    <w:semiHidden/>
    <w:qFormat/>
    <w:uiPriority w:val="4"/>
    <w:rPr>
      <w:rFonts w:ascii="宋体" w:hAnsi="宋体"/>
      <w:kern w:val="2"/>
      <w:sz w:val="21"/>
      <w:szCs w:val="21"/>
    </w:rPr>
  </w:style>
  <w:style w:type="paragraph" w:customStyle="1" w:styleId="361">
    <w:name w:val="表内容"/>
    <w:basedOn w:val="1"/>
    <w:next w:val="1"/>
    <w:link w:val="360"/>
    <w:semiHidden/>
    <w:qFormat/>
    <w:uiPriority w:val="4"/>
    <w:pPr>
      <w:adjustRightInd w:val="0"/>
      <w:snapToGrid w:val="0"/>
      <w:jc w:val="center"/>
    </w:pPr>
    <w:rPr>
      <w:rFonts w:ascii="宋体" w:hAnsi="宋体"/>
      <w:szCs w:val="21"/>
    </w:rPr>
  </w:style>
  <w:style w:type="character" w:customStyle="1" w:styleId="362">
    <w:name w:val="样式 表格 2 Char Char Char"/>
    <w:basedOn w:val="56"/>
    <w:link w:val="363"/>
    <w:semiHidden/>
    <w:qFormat/>
    <w:uiPriority w:val="4"/>
    <w:rPr>
      <w:rFonts w:ascii="宋体" w:hAnsi="Courier New" w:cs="宋体"/>
      <w:kern w:val="2"/>
      <w:sz w:val="21"/>
      <w:szCs w:val="21"/>
    </w:rPr>
  </w:style>
  <w:style w:type="paragraph" w:customStyle="1" w:styleId="363">
    <w:name w:val="样式 表格 2 Char"/>
    <w:basedOn w:val="1"/>
    <w:link w:val="362"/>
    <w:semiHidden/>
    <w:qFormat/>
    <w:uiPriority w:val="4"/>
    <w:pPr>
      <w:tabs>
        <w:tab w:val="left" w:pos="0"/>
      </w:tabs>
      <w:adjustRightInd w:val="0"/>
      <w:snapToGrid w:val="0"/>
      <w:jc w:val="center"/>
      <w:outlineLvl w:val="5"/>
    </w:pPr>
    <w:rPr>
      <w:rFonts w:ascii="宋体" w:hAnsi="Courier New" w:cs="宋体"/>
      <w:szCs w:val="21"/>
    </w:rPr>
  </w:style>
  <w:style w:type="character" w:customStyle="1" w:styleId="364">
    <w:name w:val="报正段落 Char Char"/>
    <w:basedOn w:val="56"/>
    <w:link w:val="365"/>
    <w:semiHidden/>
    <w:qFormat/>
    <w:uiPriority w:val="4"/>
    <w:rPr>
      <w:rFonts w:ascii="仿宋_GB2312" w:hAnsi="仿宋" w:eastAsia="仿宋_GB2312"/>
      <w:kern w:val="2"/>
      <w:sz w:val="28"/>
      <w:szCs w:val="28"/>
    </w:rPr>
  </w:style>
  <w:style w:type="paragraph" w:customStyle="1" w:styleId="365">
    <w:name w:val="报正段落"/>
    <w:basedOn w:val="1"/>
    <w:link w:val="364"/>
    <w:semiHidden/>
    <w:qFormat/>
    <w:uiPriority w:val="4"/>
    <w:pPr>
      <w:autoSpaceDE w:val="0"/>
      <w:autoSpaceDN w:val="0"/>
      <w:adjustRightInd w:val="0"/>
      <w:snapToGrid w:val="0"/>
      <w:spacing w:line="360" w:lineRule="auto"/>
      <w:ind w:firstLine="560" w:firstLineChars="200"/>
      <w:jc w:val="left"/>
    </w:pPr>
    <w:rPr>
      <w:rFonts w:ascii="仿宋_GB2312" w:hAnsi="仿宋" w:eastAsia="仿宋_GB2312"/>
      <w:sz w:val="28"/>
      <w:szCs w:val="28"/>
    </w:rPr>
  </w:style>
  <w:style w:type="character" w:customStyle="1" w:styleId="366">
    <w:name w:val="Char Char16"/>
    <w:basedOn w:val="56"/>
    <w:qFormat/>
    <w:uiPriority w:val="0"/>
    <w:rPr>
      <w:rFonts w:ascii="宋体" w:hAnsi="宋体" w:eastAsia="宋体"/>
      <w:b/>
      <w:kern w:val="28"/>
      <w:sz w:val="28"/>
      <w:lang w:val="en-US" w:eastAsia="zh-CN" w:bidi="ar-SA"/>
    </w:rPr>
  </w:style>
  <w:style w:type="character" w:customStyle="1" w:styleId="367">
    <w:name w:val="3号宋体正文 Char Char Char Char"/>
    <w:basedOn w:val="56"/>
    <w:semiHidden/>
    <w:qFormat/>
    <w:uiPriority w:val="4"/>
    <w:rPr>
      <w:rFonts w:eastAsia="仿宋_GB2312"/>
      <w:snapToGrid w:val="0"/>
      <w:spacing w:val="20"/>
      <w:kern w:val="2"/>
      <w:sz w:val="32"/>
      <w:lang w:val="en-US" w:eastAsia="zh-CN" w:bidi="ar-SA"/>
    </w:rPr>
  </w:style>
  <w:style w:type="character" w:customStyle="1" w:styleId="368">
    <w:name w:val="标题 2 Char Char Char Char1"/>
    <w:basedOn w:val="56"/>
    <w:semiHidden/>
    <w:qFormat/>
    <w:uiPriority w:val="4"/>
    <w:rPr>
      <w:rFonts w:eastAsia="仿宋_GB2312"/>
      <w:b/>
      <w:bCs/>
      <w:kern w:val="2"/>
      <w:sz w:val="30"/>
      <w:szCs w:val="30"/>
      <w:lang w:val="en-US" w:eastAsia="zh-CN" w:bidi="ar-SA"/>
    </w:rPr>
  </w:style>
  <w:style w:type="character" w:customStyle="1" w:styleId="369">
    <w:name w:val="标题 4 Char Char Char"/>
    <w:basedOn w:val="56"/>
    <w:semiHidden/>
    <w:qFormat/>
    <w:uiPriority w:val="4"/>
    <w:rPr>
      <w:rFonts w:ascii="Arial" w:hAnsi="Arial" w:eastAsia="黑体"/>
      <w:b/>
      <w:bCs/>
      <w:kern w:val="2"/>
      <w:sz w:val="28"/>
      <w:szCs w:val="28"/>
      <w:lang w:val="en-US" w:eastAsia="zh-CN" w:bidi="ar-SA"/>
    </w:rPr>
  </w:style>
  <w:style w:type="character" w:customStyle="1" w:styleId="370">
    <w:name w:val="f151"/>
    <w:basedOn w:val="56"/>
    <w:semiHidden/>
    <w:qFormat/>
    <w:uiPriority w:val="4"/>
    <w:rPr>
      <w:sz w:val="23"/>
      <w:szCs w:val="23"/>
    </w:rPr>
  </w:style>
  <w:style w:type="character" w:customStyle="1" w:styleId="371">
    <w:name w:val="兰奎元桃园铅锌矿正文 Char Char"/>
    <w:basedOn w:val="56"/>
    <w:link w:val="283"/>
    <w:semiHidden/>
    <w:qFormat/>
    <w:uiPriority w:val="4"/>
    <w:rPr>
      <w:rFonts w:ascii="宋体" w:hAnsi="仿宋_GB2312" w:cs="宋体"/>
      <w:kern w:val="2"/>
      <w:sz w:val="24"/>
      <w:szCs w:val="24"/>
    </w:rPr>
  </w:style>
  <w:style w:type="character" w:customStyle="1" w:styleId="372">
    <w:name w:val="Char Char12"/>
    <w:basedOn w:val="56"/>
    <w:semiHidden/>
    <w:qFormat/>
    <w:uiPriority w:val="4"/>
    <w:rPr>
      <w:rFonts w:eastAsia="宋体"/>
      <w:b/>
      <w:bCs/>
      <w:kern w:val="2"/>
      <w:sz w:val="28"/>
      <w:szCs w:val="28"/>
      <w:lang w:val="en-US" w:eastAsia="zh-CN" w:bidi="ar-SA"/>
    </w:rPr>
  </w:style>
  <w:style w:type="character" w:customStyle="1" w:styleId="373">
    <w:name w:val="not([class*=suffix])1"/>
    <w:basedOn w:val="56"/>
    <w:semiHidden/>
    <w:qFormat/>
    <w:uiPriority w:val="4"/>
  </w:style>
  <w:style w:type="paragraph" w:customStyle="1" w:styleId="374">
    <w:name w:val="样式6"/>
    <w:basedOn w:val="1"/>
    <w:semiHidden/>
    <w:qFormat/>
    <w:uiPriority w:val="4"/>
    <w:pPr>
      <w:adjustRightInd w:val="0"/>
      <w:snapToGrid w:val="0"/>
      <w:spacing w:line="360" w:lineRule="atLeast"/>
    </w:pPr>
    <w:rPr>
      <w:rFonts w:ascii="仿宋" w:hAnsi="仿宋" w:eastAsia="仿宋"/>
      <w:color w:val="000000"/>
      <w:sz w:val="24"/>
      <w:szCs w:val="20"/>
    </w:rPr>
  </w:style>
  <w:style w:type="paragraph" w:customStyle="1" w:styleId="375">
    <w:name w:val="xl60"/>
    <w:basedOn w:val="1"/>
    <w:semiHidden/>
    <w:qFormat/>
    <w:uiPriority w:val="4"/>
    <w:pPr>
      <w:widowControl/>
      <w:pBdr>
        <w:left w:val="single" w:color="auto" w:sz="4" w:space="0"/>
        <w:bottom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376">
    <w:name w:val="样式 标题 2 + (西文) 宋体1"/>
    <w:basedOn w:val="4"/>
    <w:semiHidden/>
    <w:qFormat/>
    <w:uiPriority w:val="4"/>
    <w:pPr>
      <w:keepLines w:val="0"/>
      <w:tabs>
        <w:tab w:val="left" w:pos="420"/>
      </w:tabs>
      <w:adjustRightInd w:val="0"/>
      <w:snapToGrid w:val="0"/>
      <w:spacing w:before="60" w:after="0" w:line="360" w:lineRule="auto"/>
      <w:ind w:left="850"/>
    </w:pPr>
    <w:rPr>
      <w:rFonts w:hAnsi="宋体" w:eastAsia="仿宋"/>
      <w:bCs w:val="0"/>
      <w:color w:val="000000"/>
      <w:sz w:val="32"/>
      <w:szCs w:val="24"/>
    </w:rPr>
  </w:style>
  <w:style w:type="paragraph" w:customStyle="1" w:styleId="377">
    <w:name w:val="样式 样式 标题 1 + 首行缩进:  2 字符 右侧:  -0.74 厘米 + 首行缩进:  2 字符"/>
    <w:basedOn w:val="378"/>
    <w:semiHidden/>
    <w:qFormat/>
    <w:uiPriority w:val="4"/>
    <w:pPr>
      <w:tabs>
        <w:tab w:val="left" w:pos="0"/>
      </w:tabs>
      <w:ind w:right="-155" w:rightChars="-74" w:firstLine="723"/>
    </w:pPr>
  </w:style>
  <w:style w:type="paragraph" w:customStyle="1" w:styleId="378">
    <w:name w:val="样式 标题 1 + 首行缩进:  2 字符 右侧:  -0.74 厘米"/>
    <w:basedOn w:val="3"/>
    <w:semiHidden/>
    <w:qFormat/>
    <w:uiPriority w:val="4"/>
    <w:pPr>
      <w:keepLines w:val="0"/>
      <w:tabs>
        <w:tab w:val="left" w:pos="0"/>
      </w:tabs>
      <w:autoSpaceDE w:val="0"/>
      <w:autoSpaceDN w:val="0"/>
      <w:adjustRightInd w:val="0"/>
      <w:snapToGrid w:val="0"/>
      <w:spacing w:beforeLines="50" w:afterLines="50" w:line="360" w:lineRule="auto"/>
      <w:ind w:left="425"/>
      <w:jc w:val="left"/>
      <w:textAlignment w:val="baseline"/>
    </w:pPr>
    <w:rPr>
      <w:rFonts w:ascii="仿宋" w:hAnsi="仿宋" w:eastAsia="仿宋" w:cs="宋体"/>
      <w:kern w:val="2"/>
      <w:sz w:val="40"/>
      <w:szCs w:val="24"/>
    </w:rPr>
  </w:style>
  <w:style w:type="paragraph" w:customStyle="1" w:styleId="379">
    <w:name w:val="表后空行"/>
    <w:basedOn w:val="1"/>
    <w:next w:val="1"/>
    <w:semiHidden/>
    <w:qFormat/>
    <w:uiPriority w:val="4"/>
    <w:pPr>
      <w:overflowPunct w:val="0"/>
      <w:autoSpaceDE w:val="0"/>
      <w:autoSpaceDN w:val="0"/>
      <w:adjustRightInd w:val="0"/>
      <w:snapToGrid w:val="0"/>
      <w:spacing w:line="360" w:lineRule="auto"/>
      <w:ind w:firstLine="200" w:firstLineChars="200"/>
      <w:textAlignment w:val="baseline"/>
    </w:pPr>
    <w:rPr>
      <w:rFonts w:ascii="仿宋" w:hAnsi="仿宋" w:eastAsia="仿宋"/>
      <w:kern w:val="28"/>
      <w:sz w:val="10"/>
      <w:szCs w:val="20"/>
    </w:rPr>
  </w:style>
  <w:style w:type="paragraph" w:customStyle="1" w:styleId="380">
    <w:name w:val="标题（一）"/>
    <w:basedOn w:val="1"/>
    <w:semiHidden/>
    <w:qFormat/>
    <w:uiPriority w:val="4"/>
    <w:pPr>
      <w:adjustRightInd w:val="0"/>
      <w:snapToGrid w:val="0"/>
      <w:spacing w:line="360" w:lineRule="auto"/>
      <w:ind w:firstLine="200" w:firstLineChars="200"/>
      <w:outlineLvl w:val="0"/>
    </w:pPr>
    <w:rPr>
      <w:rFonts w:ascii="仿宋" w:hAnsi="仿宋" w:eastAsia="仿宋"/>
      <w:b/>
      <w:sz w:val="28"/>
      <w:szCs w:val="28"/>
    </w:rPr>
  </w:style>
  <w:style w:type="paragraph" w:customStyle="1" w:styleId="381">
    <w:name w:val="正文 New New New New New New New New New New New New New New New New New New New New"/>
    <w:semiHidden/>
    <w:qFormat/>
    <w:uiPriority w:val="4"/>
    <w:pPr>
      <w:widowControl w:val="0"/>
      <w:jc w:val="both"/>
    </w:pPr>
    <w:rPr>
      <w:rFonts w:ascii="Times New Roman" w:hAnsi="Times New Roman" w:eastAsia="宋体" w:cs="Times New Roman"/>
      <w:kern w:val="2"/>
      <w:sz w:val="21"/>
      <w:lang w:val="en-US" w:eastAsia="zh-CN" w:bidi="ar-SA"/>
    </w:rPr>
  </w:style>
  <w:style w:type="paragraph" w:customStyle="1" w:styleId="382">
    <w:name w:val="表名"/>
    <w:basedOn w:val="1"/>
    <w:semiHidden/>
    <w:qFormat/>
    <w:uiPriority w:val="4"/>
    <w:pPr>
      <w:overflowPunct w:val="0"/>
      <w:autoSpaceDE w:val="0"/>
      <w:autoSpaceDN w:val="0"/>
      <w:adjustRightInd w:val="0"/>
      <w:snapToGrid w:val="0"/>
      <w:spacing w:before="480" w:line="360" w:lineRule="auto"/>
      <w:ind w:firstLine="200" w:firstLineChars="200"/>
      <w:jc w:val="center"/>
      <w:textAlignment w:val="baseline"/>
    </w:pPr>
    <w:rPr>
      <w:rFonts w:ascii="宋体" w:hAnsi="仿宋" w:eastAsia="仿宋"/>
      <w:b/>
      <w:kern w:val="24"/>
      <w:sz w:val="24"/>
      <w:szCs w:val="20"/>
    </w:rPr>
  </w:style>
  <w:style w:type="paragraph" w:customStyle="1" w:styleId="383">
    <w:name w:val="xl50"/>
    <w:basedOn w:val="1"/>
    <w:semiHidden/>
    <w:qFormat/>
    <w:uiPriority w:val="4"/>
    <w:pPr>
      <w:widowControl/>
      <w:pBdr>
        <w:top w:val="single" w:color="auto" w:sz="4" w:space="0"/>
        <w:bottom w:val="single" w:color="auto" w:sz="4" w:space="0"/>
      </w:pBdr>
      <w:adjustRightInd w:val="0"/>
      <w:snapToGrid w:val="0"/>
      <w:spacing w:before="100" w:beforeAutospacing="1" w:after="100" w:afterAutospacing="1"/>
      <w:jc w:val="center"/>
    </w:pPr>
    <w:rPr>
      <w:rFonts w:ascii="宋体" w:hAnsi="宋体" w:eastAsia="仿宋" w:cs="宋体"/>
      <w:kern w:val="0"/>
      <w:sz w:val="24"/>
    </w:rPr>
  </w:style>
  <w:style w:type="paragraph" w:customStyle="1" w:styleId="384">
    <w:name w:val="样式 标题 3 + 宋体"/>
    <w:basedOn w:val="5"/>
    <w:semiHidden/>
    <w:qFormat/>
    <w:uiPriority w:val="4"/>
    <w:pPr>
      <w:tabs>
        <w:tab w:val="left" w:pos="420"/>
      </w:tabs>
      <w:snapToGrid w:val="0"/>
      <w:ind w:left="720" w:hanging="720"/>
    </w:pPr>
    <w:rPr>
      <w:rFonts w:ascii="仿宋" w:hAnsi="宋体" w:eastAsia="仿宋"/>
      <w:b w:val="0"/>
      <w:color w:val="000000"/>
      <w:sz w:val="30"/>
    </w:rPr>
  </w:style>
  <w:style w:type="paragraph" w:customStyle="1" w:styleId="385">
    <w:name w:val="p24"/>
    <w:basedOn w:val="1"/>
    <w:semiHidden/>
    <w:qFormat/>
    <w:uiPriority w:val="4"/>
    <w:pPr>
      <w:widowControl/>
      <w:autoSpaceDE w:val="0"/>
      <w:autoSpaceDN w:val="0"/>
      <w:adjustRightInd w:val="0"/>
      <w:snapToGrid w:val="0"/>
      <w:spacing w:line="360" w:lineRule="auto"/>
      <w:ind w:firstLine="200" w:firstLineChars="200"/>
    </w:pPr>
    <w:rPr>
      <w:rFonts w:ascii="宋体" w:hAnsi="宋体" w:eastAsia="仿宋"/>
      <w:kern w:val="0"/>
      <w:szCs w:val="20"/>
    </w:rPr>
  </w:style>
  <w:style w:type="paragraph" w:customStyle="1" w:styleId="386">
    <w:name w:val="表体"/>
    <w:basedOn w:val="387"/>
    <w:semiHidden/>
    <w:qFormat/>
    <w:uiPriority w:val="4"/>
    <w:pPr>
      <w:ind w:left="-57" w:right="-57"/>
    </w:pPr>
    <w:rPr>
      <w:b w:val="0"/>
      <w:color w:val="000080"/>
    </w:rPr>
  </w:style>
  <w:style w:type="paragraph" w:customStyle="1" w:styleId="387">
    <w:name w:val="表头"/>
    <w:basedOn w:val="1"/>
    <w:semiHidden/>
    <w:qFormat/>
    <w:uiPriority w:val="4"/>
    <w:pPr>
      <w:overflowPunct w:val="0"/>
      <w:autoSpaceDE w:val="0"/>
      <w:autoSpaceDN w:val="0"/>
      <w:adjustRightInd w:val="0"/>
      <w:snapToGrid w:val="0"/>
      <w:spacing w:before="80" w:after="80" w:line="240" w:lineRule="atLeast"/>
      <w:ind w:firstLine="200" w:firstLineChars="200"/>
      <w:jc w:val="center"/>
      <w:textAlignment w:val="baseline"/>
    </w:pPr>
    <w:rPr>
      <w:rFonts w:ascii="宋体" w:hAnsi="仿宋" w:eastAsia="仿宋"/>
      <w:b/>
      <w:color w:val="808000"/>
      <w:kern w:val="24"/>
      <w:sz w:val="24"/>
      <w:szCs w:val="20"/>
    </w:rPr>
  </w:style>
  <w:style w:type="paragraph" w:customStyle="1" w:styleId="388">
    <w:name w:val="xl54"/>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right"/>
    </w:pPr>
    <w:rPr>
      <w:rFonts w:ascii="Arial Unicode MS" w:hAnsi="Arial Unicode MS" w:eastAsia="Arial Unicode MS"/>
      <w:kern w:val="0"/>
      <w:sz w:val="24"/>
      <w:szCs w:val="20"/>
    </w:rPr>
  </w:style>
  <w:style w:type="paragraph" w:customStyle="1" w:styleId="389">
    <w:name w:val="样式 四号 首行缩进:  10.1 毫米"/>
    <w:basedOn w:val="1"/>
    <w:semiHidden/>
    <w:qFormat/>
    <w:uiPriority w:val="4"/>
    <w:pPr>
      <w:adjustRightInd w:val="0"/>
      <w:snapToGrid w:val="0"/>
      <w:spacing w:line="360" w:lineRule="auto"/>
      <w:ind w:firstLine="573" w:firstLineChars="200"/>
    </w:pPr>
    <w:rPr>
      <w:rFonts w:ascii="仿宋" w:hAnsi="仿宋" w:eastAsia="仿宋" w:cs="宋体"/>
      <w:sz w:val="28"/>
      <w:szCs w:val="20"/>
    </w:rPr>
  </w:style>
  <w:style w:type="paragraph" w:customStyle="1" w:styleId="390">
    <w:name w:val="xl52"/>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left"/>
    </w:pPr>
    <w:rPr>
      <w:rFonts w:ascii="Arial Unicode MS" w:hAnsi="Arial Unicode MS" w:eastAsia="Arial Unicode MS"/>
      <w:b/>
      <w:kern w:val="0"/>
      <w:sz w:val="28"/>
      <w:szCs w:val="20"/>
    </w:rPr>
  </w:style>
  <w:style w:type="paragraph" w:customStyle="1" w:styleId="391">
    <w:name w:val="_Style 36"/>
    <w:basedOn w:val="1"/>
    <w:next w:val="32"/>
    <w:semiHidden/>
    <w:qFormat/>
    <w:uiPriority w:val="4"/>
    <w:pPr>
      <w:autoSpaceDE w:val="0"/>
      <w:autoSpaceDN w:val="0"/>
      <w:adjustRightInd w:val="0"/>
      <w:snapToGrid w:val="0"/>
      <w:spacing w:after="120" w:line="480" w:lineRule="auto"/>
      <w:ind w:left="420" w:firstLine="200" w:firstLineChars="200"/>
    </w:pPr>
    <w:rPr>
      <w:rFonts w:ascii="仿宋" w:hAnsi="仿宋" w:eastAsia="仿宋"/>
      <w:sz w:val="28"/>
      <w:szCs w:val="20"/>
    </w:rPr>
  </w:style>
  <w:style w:type="paragraph" w:customStyle="1" w:styleId="392">
    <w:name w:val="样式 四号 段前: 6 磅 行距: 固定值 26 磅"/>
    <w:basedOn w:val="1"/>
    <w:semiHidden/>
    <w:qFormat/>
    <w:uiPriority w:val="4"/>
    <w:pPr>
      <w:adjustRightInd w:val="0"/>
      <w:snapToGrid w:val="0"/>
      <w:spacing w:before="120" w:line="360" w:lineRule="auto"/>
      <w:ind w:firstLine="200" w:firstLineChars="200"/>
    </w:pPr>
    <w:rPr>
      <w:rFonts w:ascii="仿宋" w:hAnsi="仿宋" w:eastAsia="仿宋" w:cs="宋体"/>
      <w:sz w:val="28"/>
      <w:szCs w:val="20"/>
      <w:lang w:bidi="th-TH"/>
    </w:rPr>
  </w:style>
  <w:style w:type="paragraph" w:customStyle="1" w:styleId="393">
    <w:name w:val="实施日期"/>
    <w:basedOn w:val="1"/>
    <w:semiHidden/>
    <w:qFormat/>
    <w:uiPriority w:val="4"/>
    <w:pPr>
      <w:widowControl/>
      <w:tabs>
        <w:tab w:val="left" w:pos="2100"/>
      </w:tabs>
      <w:adjustRightInd w:val="0"/>
      <w:snapToGrid w:val="0"/>
      <w:ind w:left="2100" w:hanging="420"/>
      <w:jc w:val="right"/>
    </w:pPr>
    <w:rPr>
      <w:rFonts w:ascii="仿宋" w:hAnsi="仿宋" w:eastAsia="黑体"/>
      <w:kern w:val="0"/>
      <w:sz w:val="28"/>
      <w:szCs w:val="20"/>
    </w:rPr>
  </w:style>
  <w:style w:type="paragraph" w:customStyle="1" w:styleId="394">
    <w:name w:val="xl51"/>
    <w:basedOn w:val="1"/>
    <w:semiHidden/>
    <w:qFormat/>
    <w:uiPriority w:val="4"/>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eastAsia="仿宋" w:cs="宋体"/>
      <w:kern w:val="0"/>
      <w:sz w:val="24"/>
    </w:rPr>
  </w:style>
  <w:style w:type="paragraph" w:customStyle="1" w:styleId="395">
    <w:name w:val="_Style 34"/>
    <w:basedOn w:val="1"/>
    <w:next w:val="24"/>
    <w:semiHidden/>
    <w:qFormat/>
    <w:uiPriority w:val="4"/>
    <w:pPr>
      <w:autoSpaceDE w:val="0"/>
      <w:autoSpaceDN w:val="0"/>
      <w:adjustRightInd w:val="0"/>
      <w:snapToGrid w:val="0"/>
      <w:spacing w:line="360" w:lineRule="auto"/>
      <w:ind w:firstLine="480" w:firstLineChars="200"/>
    </w:pPr>
    <w:rPr>
      <w:rFonts w:ascii="宋体" w:hAnsi="宋体" w:eastAsia="仿宋"/>
      <w:sz w:val="24"/>
      <w:szCs w:val="20"/>
    </w:rPr>
  </w:style>
  <w:style w:type="paragraph" w:customStyle="1" w:styleId="396">
    <w:name w:val="前言、引言标题"/>
    <w:next w:val="1"/>
    <w:semiHidden/>
    <w:qFormat/>
    <w:uiPriority w:val="4"/>
    <w:pPr>
      <w:shd w:val="clear" w:color="FFFFFF" w:fill="FFFFFF"/>
      <w:tabs>
        <w:tab w:val="left" w:pos="1095"/>
      </w:tabs>
      <w:spacing w:before="640" w:after="560"/>
      <w:ind w:left="1095" w:hanging="360"/>
      <w:jc w:val="center"/>
      <w:outlineLvl w:val="0"/>
    </w:pPr>
    <w:rPr>
      <w:rFonts w:ascii="黑体" w:hAnsi="Times New Roman" w:eastAsia="黑体" w:cs="Times New Roman"/>
      <w:sz w:val="32"/>
      <w:lang w:val="en-US" w:eastAsia="zh-CN" w:bidi="ar-SA"/>
    </w:rPr>
  </w:style>
  <w:style w:type="paragraph" w:customStyle="1" w:styleId="397">
    <w:name w:val="Char4 Char Char Char"/>
    <w:basedOn w:val="1"/>
    <w:semiHidden/>
    <w:qFormat/>
    <w:uiPriority w:val="4"/>
    <w:pPr>
      <w:adjustRightInd w:val="0"/>
      <w:snapToGrid w:val="0"/>
      <w:spacing w:line="360" w:lineRule="auto"/>
      <w:ind w:firstLine="200" w:firstLineChars="200"/>
    </w:pPr>
    <w:rPr>
      <w:rFonts w:ascii="宋体" w:hAnsi="宋体" w:eastAsia="仿宋" w:cs="宋体"/>
      <w:sz w:val="24"/>
      <w:szCs w:val="26"/>
    </w:rPr>
  </w:style>
  <w:style w:type="paragraph" w:customStyle="1" w:styleId="398">
    <w:name w:val="Char Char Char Char Char Char Char"/>
    <w:basedOn w:val="1"/>
    <w:semiHidden/>
    <w:qFormat/>
    <w:uiPriority w:val="4"/>
    <w:pPr>
      <w:adjustRightInd w:val="0"/>
      <w:snapToGrid w:val="0"/>
    </w:pPr>
    <w:rPr>
      <w:rFonts w:ascii="仿宋" w:hAnsi="仿宋" w:eastAsia="仿宋"/>
    </w:rPr>
  </w:style>
  <w:style w:type="paragraph" w:customStyle="1" w:styleId="399">
    <w:name w:val="样式11"/>
    <w:basedOn w:val="1"/>
    <w:semiHidden/>
    <w:qFormat/>
    <w:uiPriority w:val="4"/>
    <w:pPr>
      <w:tabs>
        <w:tab w:val="left" w:pos="4830"/>
      </w:tabs>
      <w:adjustRightInd w:val="0"/>
      <w:snapToGrid w:val="0"/>
      <w:spacing w:line="320" w:lineRule="atLeast"/>
      <w:jc w:val="center"/>
    </w:pPr>
    <w:rPr>
      <w:rFonts w:ascii="宋体" w:hAnsi="宋体" w:eastAsia="仿宋"/>
      <w:color w:val="000000"/>
      <w:sz w:val="28"/>
      <w:szCs w:val="20"/>
    </w:rPr>
  </w:style>
  <w:style w:type="paragraph" w:customStyle="1" w:styleId="400">
    <w:name w:val="p25"/>
    <w:basedOn w:val="1"/>
    <w:semiHidden/>
    <w:qFormat/>
    <w:uiPriority w:val="4"/>
    <w:pPr>
      <w:widowControl/>
      <w:autoSpaceDE w:val="0"/>
      <w:autoSpaceDN w:val="0"/>
      <w:adjustRightInd w:val="0"/>
      <w:snapToGrid w:val="0"/>
      <w:spacing w:line="360" w:lineRule="auto"/>
      <w:ind w:firstLine="540" w:firstLineChars="200"/>
    </w:pPr>
    <w:rPr>
      <w:rFonts w:ascii="仿宋_GB2312" w:hAnsi="宋体" w:eastAsia="仿宋_GB2312"/>
      <w:kern w:val="0"/>
      <w:sz w:val="28"/>
      <w:szCs w:val="20"/>
    </w:rPr>
  </w:style>
  <w:style w:type="paragraph" w:customStyle="1" w:styleId="401">
    <w:name w:val="样式13"/>
    <w:basedOn w:val="1"/>
    <w:semiHidden/>
    <w:qFormat/>
    <w:uiPriority w:val="4"/>
    <w:pPr>
      <w:adjustRightInd w:val="0"/>
      <w:snapToGrid w:val="0"/>
      <w:spacing w:line="240" w:lineRule="atLeast"/>
      <w:jc w:val="center"/>
    </w:pPr>
    <w:rPr>
      <w:rFonts w:ascii="仿宋" w:hAnsi="仿宋" w:eastAsia="仿宋"/>
      <w:color w:val="000000"/>
      <w:sz w:val="18"/>
      <w:szCs w:val="20"/>
    </w:rPr>
  </w:style>
  <w:style w:type="paragraph" w:customStyle="1" w:styleId="402">
    <w:name w:val="p22"/>
    <w:basedOn w:val="1"/>
    <w:semiHidden/>
    <w:qFormat/>
    <w:uiPriority w:val="4"/>
    <w:pPr>
      <w:widowControl/>
      <w:autoSpaceDE w:val="0"/>
      <w:autoSpaceDN w:val="0"/>
      <w:adjustRightInd w:val="0"/>
      <w:snapToGrid w:val="0"/>
      <w:spacing w:line="360" w:lineRule="auto"/>
      <w:ind w:firstLine="420" w:firstLineChars="200"/>
    </w:pPr>
    <w:rPr>
      <w:rFonts w:ascii="仿宋" w:hAnsi="仿宋" w:eastAsia="仿宋"/>
      <w:kern w:val="0"/>
      <w:szCs w:val="20"/>
    </w:rPr>
  </w:style>
  <w:style w:type="paragraph" w:customStyle="1" w:styleId="403">
    <w:name w:val="正文1"/>
    <w:basedOn w:val="1"/>
    <w:semiHidden/>
    <w:qFormat/>
    <w:uiPriority w:val="4"/>
    <w:pPr>
      <w:adjustRightInd w:val="0"/>
      <w:snapToGrid w:val="0"/>
      <w:spacing w:line="360" w:lineRule="auto"/>
      <w:ind w:firstLine="880" w:firstLineChars="200"/>
    </w:pPr>
    <w:rPr>
      <w:rFonts w:ascii="Arial" w:hAnsi="Arial" w:eastAsia="仿宋" w:cs="Arial"/>
      <w:kern w:val="0"/>
      <w:sz w:val="28"/>
      <w:szCs w:val="22"/>
    </w:rPr>
  </w:style>
  <w:style w:type="paragraph" w:customStyle="1" w:styleId="404">
    <w:name w:val="xl48"/>
    <w:basedOn w:val="1"/>
    <w:semiHidden/>
    <w:qFormat/>
    <w:uiPriority w:val="4"/>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eastAsia="仿宋" w:cs="宋体"/>
      <w:kern w:val="0"/>
      <w:sz w:val="24"/>
    </w:rPr>
  </w:style>
  <w:style w:type="paragraph" w:customStyle="1" w:styleId="405">
    <w:name w:val="正文 New New New New New New New New New New New New New New New New New New New New New New"/>
    <w:semiHidden/>
    <w:qFormat/>
    <w:uiPriority w:val="4"/>
    <w:pPr>
      <w:widowControl w:val="0"/>
      <w:spacing w:line="520" w:lineRule="exact"/>
      <w:ind w:firstLine="720" w:firstLineChars="200"/>
      <w:jc w:val="both"/>
    </w:pPr>
    <w:rPr>
      <w:rFonts w:hint="eastAsia" w:ascii="Times New Roman" w:hAnsi="Times New Roman" w:eastAsia="宋体" w:cs="Times New Roman"/>
      <w:kern w:val="2"/>
      <w:sz w:val="28"/>
      <w:lang w:val="en-US" w:eastAsia="zh-CN" w:bidi="ar-SA"/>
    </w:rPr>
  </w:style>
  <w:style w:type="paragraph" w:customStyle="1" w:styleId="406">
    <w:name w:val="xl58"/>
    <w:basedOn w:val="1"/>
    <w:semiHidden/>
    <w:qFormat/>
    <w:uiPriority w:val="4"/>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07">
    <w:name w:val="我的正文"/>
    <w:basedOn w:val="1"/>
    <w:semiHidden/>
    <w:qFormat/>
    <w:uiPriority w:val="4"/>
    <w:pPr>
      <w:adjustRightInd w:val="0"/>
      <w:snapToGrid w:val="0"/>
      <w:spacing w:line="360" w:lineRule="auto"/>
      <w:ind w:firstLine="420" w:firstLineChars="200"/>
    </w:pPr>
    <w:rPr>
      <w:rFonts w:ascii="仿宋" w:hAnsi="仿宋" w:eastAsia="仿宋" w:cs="宋体"/>
      <w:szCs w:val="28"/>
    </w:rPr>
  </w:style>
  <w:style w:type="paragraph" w:customStyle="1" w:styleId="408">
    <w:name w:val="Char Char Char Char Char Char Char1"/>
    <w:basedOn w:val="1"/>
    <w:semiHidden/>
    <w:qFormat/>
    <w:uiPriority w:val="4"/>
    <w:pPr>
      <w:autoSpaceDE w:val="0"/>
      <w:autoSpaceDN w:val="0"/>
      <w:adjustRightInd w:val="0"/>
      <w:snapToGrid w:val="0"/>
      <w:spacing w:line="360" w:lineRule="auto"/>
      <w:ind w:firstLine="200" w:firstLineChars="200"/>
    </w:pPr>
    <w:rPr>
      <w:rFonts w:ascii="仿宋" w:hAnsi="仿宋" w:eastAsia="仿宋"/>
    </w:rPr>
  </w:style>
  <w:style w:type="paragraph" w:customStyle="1" w:styleId="409">
    <w:name w:val="xl91"/>
    <w:basedOn w:val="1"/>
    <w:semiHidden/>
    <w:qFormat/>
    <w:uiPriority w:val="4"/>
    <w:pPr>
      <w:widowControl/>
      <w:autoSpaceDE w:val="0"/>
      <w:autoSpaceDN w:val="0"/>
      <w:adjustRightInd w:val="0"/>
      <w:snapToGrid w:val="0"/>
      <w:spacing w:before="100" w:beforeAutospacing="1" w:after="100" w:afterAutospacing="1" w:line="360" w:lineRule="auto"/>
      <w:ind w:firstLine="200" w:firstLineChars="200"/>
      <w:jc w:val="center"/>
    </w:pPr>
    <w:rPr>
      <w:rFonts w:ascii="宋体" w:hAnsi="宋体" w:eastAsia="仿宋"/>
      <w:kern w:val="0"/>
      <w:sz w:val="24"/>
      <w:szCs w:val="20"/>
    </w:rPr>
  </w:style>
  <w:style w:type="paragraph" w:customStyle="1" w:styleId="410">
    <w:name w:val="_Style 33"/>
    <w:basedOn w:val="1"/>
    <w:next w:val="32"/>
    <w:semiHidden/>
    <w:qFormat/>
    <w:uiPriority w:val="4"/>
    <w:pPr>
      <w:autoSpaceDE w:val="0"/>
      <w:autoSpaceDN w:val="0"/>
      <w:adjustRightInd w:val="0"/>
      <w:snapToGrid w:val="0"/>
      <w:spacing w:after="120" w:line="480" w:lineRule="auto"/>
      <w:ind w:left="420" w:firstLine="200" w:firstLineChars="200"/>
    </w:pPr>
    <w:rPr>
      <w:rFonts w:ascii="仿宋" w:hAnsi="仿宋" w:eastAsia="仿宋"/>
      <w:sz w:val="28"/>
      <w:szCs w:val="20"/>
    </w:rPr>
  </w:style>
  <w:style w:type="paragraph" w:customStyle="1" w:styleId="411">
    <w:name w:val="xl62"/>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12">
    <w:name w:val="样式 正文（首行缩进两字） + 四号 首行缩进:  2 字符"/>
    <w:basedOn w:val="16"/>
    <w:semiHidden/>
    <w:qFormat/>
    <w:uiPriority w:val="4"/>
    <w:pPr>
      <w:adjustRightInd w:val="0"/>
      <w:snapToGrid w:val="0"/>
      <w:ind w:firstLine="200"/>
    </w:pPr>
    <w:rPr>
      <w:rFonts w:ascii="仿宋" w:hAnsi="仿宋" w:eastAsia="仿宋"/>
      <w:sz w:val="28"/>
      <w:szCs w:val="20"/>
    </w:rPr>
  </w:style>
  <w:style w:type="paragraph" w:customStyle="1" w:styleId="413">
    <w:name w:val="标题 3 New"/>
    <w:basedOn w:val="1"/>
    <w:next w:val="1"/>
    <w:semiHidden/>
    <w:qFormat/>
    <w:uiPriority w:val="4"/>
    <w:pPr>
      <w:keepNext/>
      <w:keepLines/>
      <w:autoSpaceDE w:val="0"/>
      <w:autoSpaceDN w:val="0"/>
      <w:snapToGrid w:val="0"/>
      <w:spacing w:line="360" w:lineRule="auto"/>
      <w:jc w:val="left"/>
      <w:textAlignment w:val="baseline"/>
      <w:outlineLvl w:val="2"/>
    </w:pPr>
    <w:rPr>
      <w:rFonts w:ascii="仿宋" w:hAnsi="仿宋"/>
      <w:b/>
      <w:sz w:val="30"/>
    </w:rPr>
  </w:style>
  <w:style w:type="paragraph" w:customStyle="1" w:styleId="414">
    <w:name w:val="_Style 114"/>
    <w:basedOn w:val="1"/>
    <w:next w:val="1"/>
    <w:semiHidden/>
    <w:qFormat/>
    <w:uiPriority w:val="4"/>
    <w:pPr>
      <w:pBdr>
        <w:bottom w:val="single" w:color="auto" w:sz="6" w:space="1"/>
      </w:pBdr>
      <w:adjustRightInd w:val="0"/>
      <w:snapToGrid w:val="0"/>
      <w:jc w:val="center"/>
    </w:pPr>
    <w:rPr>
      <w:rFonts w:ascii="Arial" w:hAnsi="Arial" w:eastAsia="仿宋" w:cs="Arial"/>
      <w:vanish/>
      <w:sz w:val="16"/>
      <w:szCs w:val="16"/>
    </w:rPr>
  </w:style>
  <w:style w:type="paragraph" w:customStyle="1" w:styleId="415">
    <w:name w:val="_Style 100"/>
    <w:basedOn w:val="1"/>
    <w:next w:val="1"/>
    <w:semiHidden/>
    <w:qFormat/>
    <w:uiPriority w:val="4"/>
    <w:pPr>
      <w:pBdr>
        <w:top w:val="single" w:color="auto" w:sz="6" w:space="1"/>
      </w:pBdr>
      <w:adjustRightInd w:val="0"/>
      <w:snapToGrid w:val="0"/>
      <w:jc w:val="center"/>
    </w:pPr>
    <w:rPr>
      <w:rFonts w:ascii="Arial" w:hAnsi="Arial" w:eastAsia="仿宋" w:cs="Arial"/>
      <w:vanish/>
      <w:sz w:val="16"/>
      <w:szCs w:val="16"/>
    </w:rPr>
  </w:style>
  <w:style w:type="paragraph" w:customStyle="1" w:styleId="416">
    <w:name w:val="样式 标题 2 + 左侧:  2 字符"/>
    <w:basedOn w:val="4"/>
    <w:semiHidden/>
    <w:qFormat/>
    <w:uiPriority w:val="4"/>
    <w:pPr>
      <w:tabs>
        <w:tab w:val="left" w:pos="420"/>
      </w:tabs>
      <w:adjustRightInd w:val="0"/>
      <w:snapToGrid w:val="0"/>
      <w:spacing w:line="413" w:lineRule="auto"/>
      <w:ind w:left="420" w:leftChars="200" w:hanging="567"/>
    </w:pPr>
    <w:rPr>
      <w:rFonts w:ascii="Arial" w:hAnsi="Arial" w:eastAsia="仿宋" w:cs="宋体"/>
      <w:b w:val="0"/>
      <w:bCs w:val="0"/>
      <w:color w:val="000000"/>
      <w:sz w:val="32"/>
      <w:szCs w:val="20"/>
    </w:rPr>
  </w:style>
  <w:style w:type="paragraph" w:customStyle="1" w:styleId="417">
    <w:name w:val="样式 标题 3 + 首行缩进:  2 字符"/>
    <w:basedOn w:val="5"/>
    <w:semiHidden/>
    <w:qFormat/>
    <w:uiPriority w:val="4"/>
    <w:pPr>
      <w:tabs>
        <w:tab w:val="left" w:pos="420"/>
      </w:tabs>
      <w:snapToGrid w:val="0"/>
      <w:spacing w:before="0" w:after="0" w:line="413" w:lineRule="auto"/>
      <w:ind w:left="720" w:firstLine="200" w:firstLineChars="200"/>
      <w:jc w:val="center"/>
    </w:pPr>
    <w:rPr>
      <w:rFonts w:ascii="仿宋" w:hAnsi="仿宋" w:eastAsia="黑体" w:cs="宋体"/>
      <w:color w:val="000000"/>
      <w:sz w:val="44"/>
      <w:szCs w:val="20"/>
    </w:rPr>
  </w:style>
  <w:style w:type="paragraph" w:customStyle="1" w:styleId="418">
    <w:name w:val="图表脚注"/>
    <w:next w:val="144"/>
    <w:semiHidden/>
    <w:qFormat/>
    <w:uiPriority w:val="4"/>
    <w:pPr>
      <w:tabs>
        <w:tab w:val="left" w:pos="2520"/>
      </w:tabs>
      <w:ind w:left="2520" w:hanging="420"/>
      <w:jc w:val="both"/>
    </w:pPr>
    <w:rPr>
      <w:rFonts w:ascii="宋体" w:hAnsi="Times New Roman" w:eastAsia="宋体" w:cs="Times New Roman"/>
      <w:sz w:val="18"/>
      <w:lang w:val="en-US" w:eastAsia="zh-CN" w:bidi="ar-SA"/>
    </w:rPr>
  </w:style>
  <w:style w:type="paragraph" w:customStyle="1" w:styleId="419">
    <w:name w:val="样式3"/>
    <w:basedOn w:val="37"/>
    <w:qFormat/>
    <w:uiPriority w:val="0"/>
    <w:pPr>
      <w:tabs>
        <w:tab w:val="right" w:leader="dot" w:pos="9628"/>
      </w:tabs>
      <w:adjustRightInd w:val="0"/>
      <w:snapToGrid w:val="0"/>
      <w:spacing w:line="360" w:lineRule="auto"/>
      <w:ind w:left="600" w:leftChars="258" w:firstLine="200" w:firstLineChars="200"/>
      <w:jc w:val="left"/>
    </w:pPr>
    <w:rPr>
      <w:rFonts w:ascii="宋体" w:hAnsi="宋体" w:eastAsia="仿宋"/>
      <w:b/>
      <w:sz w:val="28"/>
      <w:szCs w:val="20"/>
    </w:rPr>
  </w:style>
  <w:style w:type="paragraph" w:customStyle="1" w:styleId="420">
    <w:name w:val="p19"/>
    <w:basedOn w:val="1"/>
    <w:semiHidden/>
    <w:qFormat/>
    <w:uiPriority w:val="4"/>
    <w:pPr>
      <w:widowControl/>
      <w:autoSpaceDE w:val="0"/>
      <w:autoSpaceDN w:val="0"/>
      <w:adjustRightInd w:val="0"/>
      <w:snapToGrid w:val="0"/>
      <w:spacing w:line="360" w:lineRule="auto"/>
      <w:ind w:firstLine="737" w:firstLineChars="200"/>
      <w:jc w:val="left"/>
    </w:pPr>
    <w:rPr>
      <w:rFonts w:ascii="仿宋" w:hAnsi="仿宋" w:eastAsia="仿宋"/>
      <w:spacing w:val="20"/>
      <w:kern w:val="0"/>
      <w:sz w:val="32"/>
      <w:szCs w:val="20"/>
    </w:rPr>
  </w:style>
  <w:style w:type="paragraph" w:customStyle="1" w:styleId="421">
    <w:name w:val="封面"/>
    <w:basedOn w:val="1"/>
    <w:semiHidden/>
    <w:qFormat/>
    <w:uiPriority w:val="4"/>
    <w:pPr>
      <w:adjustRightInd w:val="0"/>
      <w:snapToGrid w:val="0"/>
      <w:spacing w:line="360" w:lineRule="auto"/>
      <w:ind w:firstLine="560" w:firstLineChars="200"/>
      <w:jc w:val="center"/>
      <w:outlineLvl w:val="8"/>
    </w:pPr>
    <w:rPr>
      <w:rFonts w:ascii="宋体" w:hAnsi="仿宋" w:eastAsia="仿宋"/>
      <w:b/>
      <w:bCs/>
      <w:kern w:val="44"/>
      <w:sz w:val="32"/>
      <w:szCs w:val="32"/>
    </w:rPr>
  </w:style>
  <w:style w:type="paragraph" w:customStyle="1" w:styleId="422">
    <w:name w:val="xl57"/>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pPr>
    <w:rPr>
      <w:rFonts w:ascii="Arial Unicode MS" w:hAnsi="Arial Unicode MS" w:eastAsia="Arial Unicode MS"/>
      <w:kern w:val="0"/>
      <w:sz w:val="24"/>
      <w:szCs w:val="20"/>
    </w:rPr>
  </w:style>
  <w:style w:type="paragraph" w:customStyle="1" w:styleId="423">
    <w:name w:val="xl55"/>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left"/>
    </w:pPr>
    <w:rPr>
      <w:rFonts w:ascii="Arial Unicode MS" w:hAnsi="Arial Unicode MS" w:eastAsia="Arial Unicode MS"/>
      <w:kern w:val="0"/>
      <w:sz w:val="24"/>
      <w:szCs w:val="20"/>
    </w:rPr>
  </w:style>
  <w:style w:type="paragraph" w:customStyle="1" w:styleId="424">
    <w:name w:val="样式 标题 3 + 宋体 加粗"/>
    <w:basedOn w:val="5"/>
    <w:semiHidden/>
    <w:qFormat/>
    <w:uiPriority w:val="4"/>
    <w:pPr>
      <w:tabs>
        <w:tab w:val="left" w:pos="420"/>
      </w:tabs>
      <w:snapToGrid w:val="0"/>
      <w:spacing w:before="0" w:after="0" w:line="240" w:lineRule="auto"/>
      <w:ind w:left="720" w:firstLine="413" w:firstLineChars="147"/>
    </w:pPr>
    <w:rPr>
      <w:rFonts w:ascii="宋体" w:hAnsi="宋体" w:eastAsia="仿宋" w:cs="宋体"/>
      <w:b w:val="0"/>
      <w:color w:val="000000"/>
      <w:sz w:val="30"/>
      <w:szCs w:val="20"/>
    </w:rPr>
  </w:style>
  <w:style w:type="paragraph" w:customStyle="1" w:styleId="425">
    <w:name w:val="xl22"/>
    <w:basedOn w:val="1"/>
    <w:semiHidden/>
    <w:qFormat/>
    <w:uiPriority w:val="4"/>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eastAsia="仿宋" w:cs="宋体"/>
      <w:kern w:val="0"/>
      <w:sz w:val="24"/>
    </w:rPr>
  </w:style>
  <w:style w:type="paragraph" w:customStyle="1" w:styleId="426">
    <w:name w:val="样式 首行缩进:  0.99 厘米"/>
    <w:basedOn w:val="1"/>
    <w:semiHidden/>
    <w:qFormat/>
    <w:uiPriority w:val="4"/>
    <w:pPr>
      <w:adjustRightInd w:val="0"/>
      <w:snapToGrid w:val="0"/>
      <w:spacing w:line="360" w:lineRule="auto"/>
      <w:ind w:firstLine="200" w:firstLineChars="200"/>
      <w:jc w:val="left"/>
    </w:pPr>
    <w:rPr>
      <w:rFonts w:ascii="仿宋" w:hAnsi="仿宋" w:eastAsia="仿宋" w:cs="宋体"/>
      <w:sz w:val="28"/>
    </w:rPr>
  </w:style>
  <w:style w:type="paragraph" w:customStyle="1" w:styleId="427">
    <w:name w:val="样式 样式 仿宋_GB2312 小三 行距: 1.5 倍行距 + 首行缩进:  2 字符"/>
    <w:basedOn w:val="1"/>
    <w:semiHidden/>
    <w:qFormat/>
    <w:uiPriority w:val="4"/>
    <w:pPr>
      <w:autoSpaceDE w:val="0"/>
      <w:autoSpaceDN w:val="0"/>
      <w:adjustRightInd w:val="0"/>
      <w:snapToGrid w:val="0"/>
      <w:spacing w:line="360" w:lineRule="auto"/>
      <w:ind w:firstLine="560" w:firstLineChars="200"/>
    </w:pPr>
    <w:rPr>
      <w:rFonts w:ascii="仿宋_GB2312" w:hAnsi="宋体" w:eastAsia="仿宋_GB2312"/>
      <w:sz w:val="28"/>
      <w:szCs w:val="20"/>
    </w:rPr>
  </w:style>
  <w:style w:type="paragraph" w:customStyle="1" w:styleId="428">
    <w:name w:val="样式 标题 4 + 首行缩进:  2 字符"/>
    <w:basedOn w:val="6"/>
    <w:semiHidden/>
    <w:qFormat/>
    <w:uiPriority w:val="4"/>
    <w:pPr>
      <w:tabs>
        <w:tab w:val="left" w:pos="0"/>
      </w:tabs>
      <w:adjustRightInd w:val="0"/>
      <w:spacing w:line="240" w:lineRule="auto"/>
      <w:ind w:left="864" w:hanging="864"/>
      <w:jc w:val="both"/>
    </w:pPr>
    <w:rPr>
      <w:rFonts w:hint="default" w:ascii="仿宋" w:hAnsi="仿宋" w:eastAsia="仿宋" w:cs="宋体"/>
      <w:color w:val="000000"/>
      <w:szCs w:val="20"/>
    </w:rPr>
  </w:style>
  <w:style w:type="paragraph" w:customStyle="1" w:styleId="429">
    <w:name w:val="xl64"/>
    <w:basedOn w:val="1"/>
    <w:qFormat/>
    <w:uiPriority w:val="0"/>
    <w:pPr>
      <w:widowControl/>
      <w:pBdr>
        <w:top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仿宋" w:hAnsi="仿宋" w:eastAsia="Arial Unicode MS"/>
      <w:b/>
      <w:kern w:val="0"/>
      <w:sz w:val="28"/>
      <w:szCs w:val="20"/>
    </w:rPr>
  </w:style>
  <w:style w:type="paragraph" w:customStyle="1" w:styleId="430">
    <w:name w:val="p28"/>
    <w:basedOn w:val="1"/>
    <w:semiHidden/>
    <w:qFormat/>
    <w:uiPriority w:val="4"/>
    <w:pPr>
      <w:widowControl/>
      <w:autoSpaceDE w:val="0"/>
      <w:autoSpaceDN w:val="0"/>
      <w:adjustRightInd w:val="0"/>
      <w:snapToGrid w:val="0"/>
      <w:spacing w:before="120" w:after="120" w:line="360" w:lineRule="auto"/>
      <w:ind w:firstLine="200" w:firstLineChars="200"/>
      <w:jc w:val="left"/>
    </w:pPr>
    <w:rPr>
      <w:rFonts w:ascii="仿宋" w:hAnsi="仿宋" w:eastAsia="仿宋"/>
      <w:b/>
      <w:caps/>
      <w:kern w:val="0"/>
      <w:sz w:val="20"/>
      <w:szCs w:val="20"/>
    </w:rPr>
  </w:style>
  <w:style w:type="paragraph" w:customStyle="1" w:styleId="431">
    <w:name w:val="标题 3 New New"/>
    <w:basedOn w:val="432"/>
    <w:next w:val="432"/>
    <w:semiHidden/>
    <w:qFormat/>
    <w:uiPriority w:val="4"/>
    <w:pPr>
      <w:keepNext/>
      <w:keepLines/>
      <w:autoSpaceDE w:val="0"/>
      <w:autoSpaceDN w:val="0"/>
      <w:adjustRightInd w:val="0"/>
      <w:ind w:firstLine="0" w:firstLineChars="0"/>
      <w:textAlignment w:val="baseline"/>
      <w:outlineLvl w:val="2"/>
    </w:pPr>
    <w:rPr>
      <w:b/>
    </w:rPr>
  </w:style>
  <w:style w:type="paragraph" w:customStyle="1" w:styleId="432">
    <w:name w:val="正文 New New New New New New New New New New New New New New New New New New New New New New New New New New New New New New New New New New New New New New New New New New"/>
    <w:semiHidden/>
    <w:qFormat/>
    <w:uiPriority w:val="4"/>
    <w:pPr>
      <w:widowControl w:val="0"/>
      <w:spacing w:line="520" w:lineRule="exact"/>
      <w:ind w:firstLine="720" w:firstLineChars="200"/>
      <w:jc w:val="both"/>
    </w:pPr>
    <w:rPr>
      <w:rFonts w:ascii="Times New Roman" w:hAnsi="Times New Roman" w:eastAsia="宋体" w:cs="Times New Roman"/>
      <w:kern w:val="2"/>
      <w:sz w:val="28"/>
      <w:lang w:val="en-US" w:eastAsia="zh-CN" w:bidi="ar-SA"/>
    </w:rPr>
  </w:style>
  <w:style w:type="paragraph" w:customStyle="1" w:styleId="433">
    <w:name w:val="样式 标题 3 + (西文) 宋体 (中文) 宋体"/>
    <w:basedOn w:val="5"/>
    <w:semiHidden/>
    <w:qFormat/>
    <w:uiPriority w:val="4"/>
    <w:pPr>
      <w:tabs>
        <w:tab w:val="left" w:pos="420"/>
      </w:tabs>
      <w:autoSpaceDE w:val="0"/>
      <w:autoSpaceDN w:val="0"/>
      <w:adjustRightInd w:val="0"/>
      <w:snapToGrid w:val="0"/>
      <w:spacing w:before="60" w:after="0" w:line="360" w:lineRule="auto"/>
      <w:ind w:hanging="720"/>
      <w:jc w:val="left"/>
      <w:textAlignment w:val="baseline"/>
    </w:pPr>
    <w:rPr>
      <w:rFonts w:ascii="宋体" w:hAnsi="宋体"/>
      <w:bCs w:val="0"/>
      <w:color w:val="000000"/>
      <w:sz w:val="30"/>
      <w:szCs w:val="24"/>
    </w:rPr>
  </w:style>
  <w:style w:type="paragraph" w:customStyle="1" w:styleId="434">
    <w:name w:val="b"/>
    <w:basedOn w:val="4"/>
    <w:semiHidden/>
    <w:qFormat/>
    <w:uiPriority w:val="4"/>
    <w:pPr>
      <w:tabs>
        <w:tab w:val="left" w:pos="420"/>
      </w:tabs>
      <w:topLinePunct/>
      <w:autoSpaceDE w:val="0"/>
      <w:autoSpaceDN w:val="0"/>
      <w:adjustRightInd w:val="0"/>
      <w:snapToGrid w:val="0"/>
      <w:spacing w:beforeLines="100" w:afterLines="100" w:line="360" w:lineRule="auto"/>
      <w:ind w:left="567" w:hanging="567"/>
    </w:pPr>
    <w:rPr>
      <w:rFonts w:hAnsi="楷体_GB2312" w:eastAsia="仿宋" w:cs="Angsana New"/>
      <w:color w:val="000000"/>
      <w:spacing w:val="16"/>
      <w:sz w:val="32"/>
    </w:rPr>
  </w:style>
  <w:style w:type="paragraph" w:customStyle="1" w:styleId="435">
    <w:name w:val="_Style 10"/>
    <w:basedOn w:val="1"/>
    <w:semiHidden/>
    <w:qFormat/>
    <w:uiPriority w:val="4"/>
    <w:pPr>
      <w:autoSpaceDE w:val="0"/>
      <w:autoSpaceDN w:val="0"/>
      <w:adjustRightInd w:val="0"/>
      <w:snapToGrid w:val="0"/>
      <w:spacing w:line="360" w:lineRule="auto"/>
      <w:ind w:left="-48" w:firstLine="200" w:firstLineChars="200"/>
    </w:pPr>
    <w:rPr>
      <w:rFonts w:ascii="仿宋" w:hAnsi="仿宋" w:eastAsia="仿宋"/>
      <w:sz w:val="28"/>
      <w:szCs w:val="20"/>
    </w:rPr>
  </w:style>
  <w:style w:type="paragraph" w:customStyle="1" w:styleId="436">
    <w:name w:val="xl23"/>
    <w:basedOn w:val="1"/>
    <w:semiHidden/>
    <w:qFormat/>
    <w:uiPriority w:val="4"/>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eastAsia="仿宋" w:cs="宋体"/>
      <w:kern w:val="0"/>
      <w:sz w:val="24"/>
    </w:rPr>
  </w:style>
  <w:style w:type="paragraph" w:customStyle="1" w:styleId="437">
    <w:name w:val="样式 样式 四号 段前: 6 磅 行距: 固定值 26 磅 + 首行缩进:  2 字符"/>
    <w:basedOn w:val="392"/>
    <w:semiHidden/>
    <w:qFormat/>
    <w:uiPriority w:val="4"/>
  </w:style>
  <w:style w:type="paragraph" w:customStyle="1" w:styleId="438">
    <w:name w:val="样式 三号 行距: 固定值 26 磅"/>
    <w:basedOn w:val="1"/>
    <w:semiHidden/>
    <w:qFormat/>
    <w:uiPriority w:val="4"/>
    <w:pPr>
      <w:adjustRightInd w:val="0"/>
      <w:snapToGrid w:val="0"/>
      <w:spacing w:line="360" w:lineRule="auto"/>
      <w:ind w:firstLine="200" w:firstLineChars="200"/>
    </w:pPr>
    <w:rPr>
      <w:rFonts w:ascii="仿宋" w:hAnsi="仿宋" w:eastAsia="仿宋" w:cs="宋体"/>
      <w:sz w:val="32"/>
      <w:szCs w:val="20"/>
      <w:lang w:bidi="th-TH"/>
    </w:rPr>
  </w:style>
  <w:style w:type="paragraph" w:customStyle="1" w:styleId="439">
    <w:name w:val="font10"/>
    <w:basedOn w:val="1"/>
    <w:semiHidden/>
    <w:qFormat/>
    <w:uiPriority w:val="6"/>
    <w:pPr>
      <w:widowControl/>
      <w:adjustRightInd w:val="0"/>
      <w:snapToGrid w:val="0"/>
      <w:spacing w:before="100" w:beforeAutospacing="1" w:after="100" w:afterAutospacing="1"/>
      <w:jc w:val="left"/>
    </w:pPr>
    <w:rPr>
      <w:rFonts w:ascii="仿宋" w:hAnsi="仿宋" w:eastAsia="仿宋"/>
      <w:color w:val="FF0000"/>
      <w:kern w:val="0"/>
      <w:sz w:val="24"/>
    </w:rPr>
  </w:style>
  <w:style w:type="paragraph" w:customStyle="1" w:styleId="440">
    <w:name w:val="WPS Plain"/>
    <w:semiHidden/>
    <w:qFormat/>
    <w:uiPriority w:val="4"/>
    <w:rPr>
      <w:rFonts w:ascii="Times New Roman" w:hAnsi="Times New Roman" w:eastAsia="宋体" w:cs="Times New Roman"/>
      <w:lang w:val="en-US" w:eastAsia="zh-CN" w:bidi="ar-SA"/>
    </w:rPr>
  </w:style>
  <w:style w:type="paragraph" w:customStyle="1" w:styleId="441">
    <w:name w:val="标题 2 New New"/>
    <w:basedOn w:val="432"/>
    <w:next w:val="432"/>
    <w:semiHidden/>
    <w:qFormat/>
    <w:uiPriority w:val="4"/>
    <w:pPr>
      <w:keepNext/>
      <w:keepLines/>
      <w:adjustRightInd w:val="0"/>
      <w:ind w:firstLine="0" w:firstLineChars="0"/>
      <w:jc w:val="left"/>
      <w:outlineLvl w:val="1"/>
    </w:pPr>
    <w:rPr>
      <w:b/>
      <w:sz w:val="30"/>
    </w:rPr>
  </w:style>
  <w:style w:type="paragraph" w:customStyle="1" w:styleId="442">
    <w:name w:val="样式4"/>
    <w:basedOn w:val="1"/>
    <w:qFormat/>
    <w:uiPriority w:val="0"/>
    <w:pPr>
      <w:adjustRightInd w:val="0"/>
      <w:snapToGrid w:val="0"/>
      <w:spacing w:line="360" w:lineRule="auto"/>
      <w:ind w:firstLine="600" w:firstLineChars="200"/>
    </w:pPr>
    <w:rPr>
      <w:rFonts w:ascii="宋体" w:hAnsi="宋体" w:eastAsia="仿宋"/>
      <w:sz w:val="28"/>
    </w:rPr>
  </w:style>
  <w:style w:type="paragraph" w:customStyle="1" w:styleId="443">
    <w:name w:val="xl49"/>
    <w:basedOn w:val="1"/>
    <w:semiHidden/>
    <w:qFormat/>
    <w:uiPriority w:val="4"/>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pPr>
    <w:rPr>
      <w:rFonts w:ascii="宋体" w:hAnsi="宋体" w:eastAsia="仿宋" w:cs="宋体"/>
      <w:kern w:val="0"/>
      <w:sz w:val="24"/>
    </w:rPr>
  </w:style>
  <w:style w:type="paragraph" w:customStyle="1" w:styleId="444">
    <w:name w:val="样式 五号 居中"/>
    <w:basedOn w:val="1"/>
    <w:semiHidden/>
    <w:qFormat/>
    <w:uiPriority w:val="4"/>
    <w:pPr>
      <w:adjustRightInd w:val="0"/>
      <w:snapToGrid w:val="0"/>
      <w:ind w:firstLine="200" w:firstLineChars="200"/>
      <w:jc w:val="center"/>
      <w:outlineLvl w:val="8"/>
    </w:pPr>
    <w:rPr>
      <w:rFonts w:ascii="宋体" w:hAnsi="仿宋" w:eastAsia="仿宋" w:cs="宋体"/>
      <w:kern w:val="0"/>
      <w:szCs w:val="21"/>
    </w:rPr>
  </w:style>
  <w:style w:type="paragraph" w:customStyle="1" w:styleId="445">
    <w:name w:val="xl53"/>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left"/>
    </w:pPr>
    <w:rPr>
      <w:rFonts w:ascii="Arial Unicode MS" w:hAnsi="Arial Unicode MS" w:eastAsia="Arial Unicode MS"/>
      <w:b/>
      <w:kern w:val="0"/>
      <w:sz w:val="28"/>
      <w:szCs w:val="20"/>
    </w:rPr>
  </w:style>
  <w:style w:type="paragraph" w:customStyle="1" w:styleId="446">
    <w:name w:val="目次、标准名称标题"/>
    <w:basedOn w:val="396"/>
    <w:next w:val="144"/>
    <w:semiHidden/>
    <w:qFormat/>
    <w:uiPriority w:val="4"/>
    <w:pPr>
      <w:spacing w:line="460" w:lineRule="exact"/>
      <w:ind w:left="0" w:firstLine="0"/>
    </w:pPr>
  </w:style>
  <w:style w:type="paragraph" w:customStyle="1" w:styleId="447">
    <w:name w:val="标题（二）"/>
    <w:basedOn w:val="1"/>
    <w:semiHidden/>
    <w:qFormat/>
    <w:uiPriority w:val="4"/>
    <w:pPr>
      <w:adjustRightInd w:val="0"/>
      <w:snapToGrid w:val="0"/>
      <w:spacing w:line="360" w:lineRule="auto"/>
      <w:ind w:firstLine="200" w:firstLineChars="200"/>
      <w:outlineLvl w:val="1"/>
    </w:pPr>
    <w:rPr>
      <w:rFonts w:ascii="仿宋" w:hAnsi="仿宋" w:eastAsia="仿宋"/>
      <w:sz w:val="28"/>
      <w:szCs w:val="28"/>
    </w:rPr>
  </w:style>
  <w:style w:type="paragraph" w:customStyle="1" w:styleId="448">
    <w:name w:val="xl63"/>
    <w:basedOn w:val="1"/>
    <w:semiHidden/>
    <w:qFormat/>
    <w:uiPriority w:val="4"/>
    <w:pPr>
      <w:widowControl/>
      <w:pBdr>
        <w:top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49">
    <w:name w:val="表标题"/>
    <w:basedOn w:val="198"/>
    <w:semiHidden/>
    <w:qFormat/>
    <w:uiPriority w:val="4"/>
    <w:pPr>
      <w:adjustRightInd w:val="0"/>
      <w:snapToGrid w:val="0"/>
      <w:spacing w:beforeLines="50" w:afterLines="50" w:line="240" w:lineRule="auto"/>
      <w:ind w:firstLine="0" w:firstLineChars="0"/>
      <w:jc w:val="center"/>
      <w:outlineLvl w:val="6"/>
    </w:pPr>
    <w:rPr>
      <w:rFonts w:eastAsia="仿宋"/>
      <w:sz w:val="24"/>
      <w:szCs w:val="21"/>
    </w:rPr>
  </w:style>
  <w:style w:type="paragraph" w:customStyle="1" w:styleId="450">
    <w:name w:val="封面标准名称"/>
    <w:semiHidden/>
    <w:qFormat/>
    <w:uiPriority w:val="4"/>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51">
    <w:name w:val="正文文字缩进 2"/>
    <w:basedOn w:val="1"/>
    <w:semiHidden/>
    <w:qFormat/>
    <w:uiPriority w:val="4"/>
    <w:pPr>
      <w:autoSpaceDE w:val="0"/>
      <w:autoSpaceDN w:val="0"/>
      <w:adjustRightInd w:val="0"/>
      <w:snapToGrid w:val="0"/>
      <w:ind w:right="-154" w:firstLine="560"/>
      <w:textAlignment w:val="baseline"/>
    </w:pPr>
    <w:rPr>
      <w:rFonts w:ascii="宋体" w:hAnsi="仿宋" w:eastAsia="仿宋"/>
      <w:sz w:val="30"/>
      <w:szCs w:val="20"/>
    </w:rPr>
  </w:style>
  <w:style w:type="paragraph" w:customStyle="1" w:styleId="452">
    <w:name w:val="xl59"/>
    <w:basedOn w:val="1"/>
    <w:semiHidden/>
    <w:qFormat/>
    <w:uiPriority w:val="4"/>
    <w:pPr>
      <w:widowControl/>
      <w:pBdr>
        <w:lef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53">
    <w:name w:val="p18"/>
    <w:basedOn w:val="1"/>
    <w:semiHidden/>
    <w:qFormat/>
    <w:uiPriority w:val="4"/>
    <w:pPr>
      <w:widowControl/>
      <w:autoSpaceDE w:val="0"/>
      <w:autoSpaceDN w:val="0"/>
      <w:adjustRightInd w:val="0"/>
      <w:snapToGrid w:val="0"/>
      <w:spacing w:line="360" w:lineRule="auto"/>
      <w:ind w:firstLine="26784" w:firstLineChars="200"/>
    </w:pPr>
    <w:rPr>
      <w:rFonts w:ascii="仿宋_GB2312" w:hAnsi="宋体" w:eastAsia="仿宋_GB2312"/>
      <w:kern w:val="0"/>
      <w:sz w:val="28"/>
      <w:szCs w:val="20"/>
    </w:rPr>
  </w:style>
  <w:style w:type="paragraph" w:customStyle="1" w:styleId="454">
    <w:name w:val="标题 2 New"/>
    <w:basedOn w:val="1"/>
    <w:next w:val="1"/>
    <w:semiHidden/>
    <w:qFormat/>
    <w:uiPriority w:val="4"/>
    <w:pPr>
      <w:keepNext/>
      <w:adjustRightInd w:val="0"/>
      <w:snapToGrid w:val="0"/>
      <w:spacing w:line="360" w:lineRule="auto"/>
      <w:jc w:val="left"/>
      <w:outlineLvl w:val="1"/>
    </w:pPr>
    <w:rPr>
      <w:rFonts w:ascii="仿宋" w:hAnsi="仿宋"/>
      <w:b/>
      <w:sz w:val="32"/>
    </w:rPr>
  </w:style>
  <w:style w:type="paragraph" w:customStyle="1" w:styleId="455">
    <w:name w:val="Char3 Char Char Char"/>
    <w:basedOn w:val="1"/>
    <w:semiHidden/>
    <w:qFormat/>
    <w:uiPriority w:val="4"/>
    <w:pPr>
      <w:adjustRightInd w:val="0"/>
      <w:snapToGrid w:val="0"/>
    </w:pPr>
    <w:rPr>
      <w:rFonts w:ascii="仿宋" w:hAnsi="仿宋" w:eastAsia="仿宋"/>
    </w:rPr>
  </w:style>
  <w:style w:type="paragraph" w:customStyle="1" w:styleId="456">
    <w:name w:val="_Style 37"/>
    <w:basedOn w:val="1"/>
    <w:next w:val="42"/>
    <w:semiHidden/>
    <w:qFormat/>
    <w:uiPriority w:val="4"/>
    <w:pPr>
      <w:tabs>
        <w:tab w:val="left" w:pos="980"/>
      </w:tabs>
      <w:autoSpaceDE w:val="0"/>
      <w:autoSpaceDN w:val="0"/>
      <w:adjustRightInd w:val="0"/>
      <w:snapToGrid w:val="0"/>
      <w:spacing w:line="360" w:lineRule="auto"/>
      <w:ind w:firstLine="465" w:firstLineChars="200"/>
    </w:pPr>
    <w:rPr>
      <w:rFonts w:ascii="Plotter" w:hAnsi="Plotter" w:eastAsia="仿宋"/>
      <w:sz w:val="28"/>
      <w:szCs w:val="20"/>
    </w:rPr>
  </w:style>
  <w:style w:type="paragraph" w:customStyle="1" w:styleId="457">
    <w:name w:val="样式17"/>
    <w:basedOn w:val="1"/>
    <w:semiHidden/>
    <w:qFormat/>
    <w:uiPriority w:val="4"/>
    <w:pPr>
      <w:adjustRightInd w:val="0"/>
      <w:snapToGrid w:val="0"/>
      <w:spacing w:line="360" w:lineRule="atLeast"/>
      <w:jc w:val="left"/>
    </w:pPr>
    <w:rPr>
      <w:rFonts w:ascii="仿宋" w:hAnsi="仿宋" w:eastAsia="仿宋"/>
      <w:sz w:val="24"/>
      <w:szCs w:val="20"/>
    </w:rPr>
  </w:style>
  <w:style w:type="paragraph" w:customStyle="1" w:styleId="458">
    <w:name w:val="p23"/>
    <w:basedOn w:val="1"/>
    <w:semiHidden/>
    <w:qFormat/>
    <w:uiPriority w:val="4"/>
    <w:pPr>
      <w:widowControl/>
      <w:autoSpaceDE w:val="0"/>
      <w:autoSpaceDN w:val="0"/>
      <w:adjustRightInd w:val="0"/>
      <w:snapToGrid w:val="0"/>
      <w:spacing w:line="360" w:lineRule="auto"/>
      <w:ind w:firstLine="26784" w:firstLineChars="200"/>
    </w:pPr>
    <w:rPr>
      <w:rFonts w:ascii="宋体" w:hAnsi="宋体" w:eastAsia="仿宋"/>
      <w:kern w:val="0"/>
      <w:sz w:val="28"/>
      <w:szCs w:val="20"/>
    </w:rPr>
  </w:style>
  <w:style w:type="paragraph" w:customStyle="1" w:styleId="459">
    <w:name w:val="p26"/>
    <w:basedOn w:val="1"/>
    <w:semiHidden/>
    <w:qFormat/>
    <w:uiPriority w:val="4"/>
    <w:pPr>
      <w:widowControl/>
      <w:autoSpaceDE w:val="0"/>
      <w:autoSpaceDN w:val="0"/>
      <w:adjustRightInd w:val="0"/>
      <w:snapToGrid w:val="0"/>
      <w:spacing w:line="360" w:lineRule="auto"/>
      <w:ind w:left="210" w:firstLine="200" w:firstLineChars="200"/>
      <w:jc w:val="left"/>
    </w:pPr>
    <w:rPr>
      <w:rFonts w:ascii="仿宋" w:hAnsi="仿宋" w:eastAsia="仿宋"/>
      <w:smallCaps/>
      <w:kern w:val="0"/>
      <w:sz w:val="20"/>
      <w:szCs w:val="20"/>
    </w:rPr>
  </w:style>
  <w:style w:type="paragraph" w:customStyle="1" w:styleId="460">
    <w:name w:val="xl61"/>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61">
    <w:name w:val="xl56"/>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right"/>
    </w:pPr>
    <w:rPr>
      <w:rFonts w:ascii="Arial Unicode MS" w:hAnsi="Arial Unicode MS" w:eastAsia="Arial Unicode MS"/>
      <w:kern w:val="0"/>
      <w:sz w:val="24"/>
      <w:szCs w:val="20"/>
    </w:rPr>
  </w:style>
  <w:style w:type="paragraph" w:customStyle="1" w:styleId="462">
    <w:name w:val="p21"/>
    <w:basedOn w:val="1"/>
    <w:semiHidden/>
    <w:qFormat/>
    <w:uiPriority w:val="4"/>
    <w:pPr>
      <w:widowControl/>
      <w:autoSpaceDE w:val="0"/>
      <w:autoSpaceDN w:val="0"/>
      <w:adjustRightInd w:val="0"/>
      <w:snapToGrid w:val="0"/>
      <w:spacing w:line="360" w:lineRule="auto"/>
      <w:ind w:firstLine="200" w:firstLineChars="200"/>
    </w:pPr>
    <w:rPr>
      <w:rFonts w:ascii="仿宋" w:hAnsi="仿宋" w:eastAsia="仿宋"/>
      <w:kern w:val="0"/>
      <w:sz w:val="28"/>
      <w:szCs w:val="20"/>
    </w:rPr>
  </w:style>
  <w:style w:type="table" w:customStyle="1" w:styleId="463">
    <w:name w:val="Table Normal"/>
    <w:unhideWhenUsed/>
    <w:qFormat/>
    <w:uiPriority w:val="0"/>
    <w:tblPr>
      <w:tblCellMar>
        <w:top w:w="0" w:type="dxa"/>
        <w:left w:w="0" w:type="dxa"/>
        <w:bottom w:w="0" w:type="dxa"/>
        <w:right w:w="0" w:type="dxa"/>
      </w:tblCellMar>
    </w:tblPr>
  </w:style>
  <w:style w:type="paragraph" w:customStyle="1" w:styleId="464">
    <w:name w:val="核实正文"/>
    <w:basedOn w:val="1"/>
    <w:semiHidden/>
    <w:qFormat/>
    <w:uiPriority w:val="4"/>
    <w:pPr>
      <w:adjustRightInd w:val="0"/>
      <w:snapToGrid w:val="0"/>
      <w:spacing w:line="360" w:lineRule="auto"/>
      <w:ind w:firstLine="560" w:firstLineChars="200"/>
    </w:pPr>
    <w:rPr>
      <w:rFonts w:ascii="楷体" w:hAnsi="楷体" w:eastAsia="楷体" w:cs="宋体"/>
      <w:b/>
      <w:sz w:val="28"/>
      <w:szCs w:val="20"/>
    </w:rPr>
  </w:style>
  <w:style w:type="paragraph" w:customStyle="1" w:styleId="465">
    <w:name w:val="方案正文"/>
    <w:basedOn w:val="1"/>
    <w:semiHidden/>
    <w:qFormat/>
    <w:uiPriority w:val="4"/>
    <w:pPr>
      <w:adjustRightInd w:val="0"/>
      <w:snapToGrid w:val="0"/>
      <w:spacing w:line="360" w:lineRule="auto"/>
      <w:ind w:firstLine="880" w:firstLineChars="200"/>
    </w:pPr>
    <w:rPr>
      <w:rFonts w:ascii="仿宋" w:hAnsi="仿宋" w:eastAsia="仿宋"/>
      <w:sz w:val="28"/>
    </w:rPr>
  </w:style>
  <w:style w:type="character" w:customStyle="1" w:styleId="466">
    <w:name w:val="列出段落 Char"/>
    <w:basedOn w:val="56"/>
    <w:link w:val="151"/>
    <w:qFormat/>
    <w:uiPriority w:val="4"/>
    <w:rPr>
      <w:rFonts w:ascii="Calibri" w:hAnsi="Calibri"/>
      <w:kern w:val="2"/>
      <w:sz w:val="21"/>
      <w:szCs w:val="22"/>
    </w:rPr>
  </w:style>
  <w:style w:type="paragraph" w:customStyle="1" w:styleId="467">
    <w:name w:val="标题2-CQ"/>
    <w:basedOn w:val="299"/>
    <w:qFormat/>
    <w:uiPriority w:val="0"/>
    <w:pPr>
      <w:snapToGrid w:val="0"/>
    </w:pPr>
    <w:rPr>
      <w:rFonts w:ascii="宋体" w:eastAsia="宋体"/>
      <w:sz w:val="30"/>
    </w:rPr>
  </w:style>
  <w:style w:type="paragraph" w:customStyle="1" w:styleId="468">
    <w:name w:val="标题4-CQ"/>
    <w:basedOn w:val="7"/>
    <w:qFormat/>
    <w:uiPriority w:val="0"/>
    <w:pPr>
      <w:keepNext/>
      <w:keepLines/>
      <w:tabs>
        <w:tab w:val="left" w:pos="0"/>
        <w:tab w:val="left" w:pos="851"/>
      </w:tabs>
      <w:kinsoku/>
      <w:overflowPunct/>
      <w:autoSpaceDE/>
      <w:autoSpaceDN/>
      <w:adjustRightInd/>
      <w:snapToGrid/>
      <w:ind w:left="850" w:hanging="850"/>
      <w:jc w:val="both"/>
      <w:outlineLvl w:val="3"/>
    </w:pPr>
    <w:rPr>
      <w:rFonts w:ascii="仿宋" w:hAnsi="仿宋" w:eastAsia="仿宋"/>
      <w:szCs w:val="20"/>
    </w:rPr>
  </w:style>
  <w:style w:type="character" w:customStyle="1" w:styleId="469">
    <w:name w:val="未处理的提及11"/>
    <w:basedOn w:val="56"/>
    <w:semiHidden/>
    <w:qFormat/>
    <w:uiPriority w:val="4"/>
    <w:rPr>
      <w:color w:val="605E5C"/>
      <w:shd w:val="clear" w:color="auto" w:fill="E1DFDD"/>
    </w:rPr>
  </w:style>
  <w:style w:type="paragraph" w:customStyle="1" w:styleId="470">
    <w:name w:val="修订1"/>
    <w:hidden/>
    <w:unhideWhenUsed/>
    <w:qFormat/>
    <w:uiPriority w:val="99"/>
    <w:rPr>
      <w:rFonts w:ascii="仿宋" w:hAnsi="仿宋" w:eastAsia="仿宋" w:cs="Times New Roman"/>
      <w:kern w:val="2"/>
      <w:sz w:val="28"/>
      <w:lang w:val="en-US" w:eastAsia="zh-CN" w:bidi="ar-SA"/>
    </w:rPr>
  </w:style>
  <w:style w:type="character" w:customStyle="1" w:styleId="471">
    <w:name w:val="未处理的提及2"/>
    <w:basedOn w:val="56"/>
    <w:unhideWhenUsed/>
    <w:qFormat/>
    <w:uiPriority w:val="99"/>
    <w:rPr>
      <w:color w:val="605E5C"/>
      <w:shd w:val="clear" w:color="auto" w:fill="E1DFDD"/>
    </w:rPr>
  </w:style>
  <w:style w:type="table" w:customStyle="1" w:styleId="472">
    <w:name w:val="网格型6"/>
    <w:basedOn w:val="5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3">
    <w:name w:val="网格型3"/>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4">
    <w:name w:val="网格型5"/>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5">
    <w:name w:val="Char Char1 Char Char"/>
    <w:basedOn w:val="1"/>
    <w:qFormat/>
    <w:uiPriority w:val="0"/>
    <w:pPr>
      <w:ind w:left="-48"/>
    </w:pPr>
  </w:style>
  <w:style w:type="character" w:customStyle="1" w:styleId="476">
    <w:name w:val="批注文字 Char1"/>
    <w:qFormat/>
    <w:uiPriority w:val="0"/>
    <w:rPr>
      <w:rFonts w:eastAsia="仿宋_GB2312"/>
      <w:kern w:val="2"/>
      <w:sz w:val="30"/>
      <w:szCs w:val="30"/>
    </w:rPr>
  </w:style>
  <w:style w:type="character" w:customStyle="1" w:styleId="477">
    <w:name w:val="样式 宋体 五号 首行缩进:  2 字符 行距: 最小值 18 磅 Char"/>
    <w:link w:val="478"/>
    <w:qFormat/>
    <w:uiPriority w:val="0"/>
    <w:rPr>
      <w:rFonts w:ascii="宋体" w:hAnsi="宋体" w:cs="宋体"/>
      <w:kern w:val="4"/>
      <w:sz w:val="21"/>
    </w:rPr>
  </w:style>
  <w:style w:type="paragraph" w:customStyle="1" w:styleId="478">
    <w:name w:val="样式 宋体 五号 首行缩进:  2 字符 行距: 最小值 18 磅"/>
    <w:basedOn w:val="1"/>
    <w:link w:val="477"/>
    <w:qFormat/>
    <w:uiPriority w:val="0"/>
    <w:pPr>
      <w:spacing w:line="360" w:lineRule="atLeast"/>
      <w:ind w:firstLine="420" w:firstLineChars="200"/>
    </w:pPr>
    <w:rPr>
      <w:rFonts w:ascii="宋体" w:hAnsi="宋体" w:cs="宋体"/>
      <w:kern w:val="4"/>
      <w:szCs w:val="20"/>
    </w:rPr>
  </w:style>
  <w:style w:type="character" w:customStyle="1" w:styleId="479">
    <w:name w:val="地质志正文 Char Char"/>
    <w:link w:val="480"/>
    <w:qFormat/>
    <w:uiPriority w:val="0"/>
    <w:rPr>
      <w:sz w:val="21"/>
      <w:szCs w:val="24"/>
    </w:rPr>
  </w:style>
  <w:style w:type="paragraph" w:customStyle="1" w:styleId="480">
    <w:name w:val="地质志正文"/>
    <w:basedOn w:val="1"/>
    <w:link w:val="479"/>
    <w:qFormat/>
    <w:uiPriority w:val="0"/>
    <w:pPr>
      <w:spacing w:line="360" w:lineRule="exact"/>
      <w:ind w:firstLine="200" w:firstLineChars="200"/>
    </w:pPr>
    <w:rPr>
      <w:kern w:val="0"/>
    </w:rPr>
  </w:style>
  <w:style w:type="character" w:customStyle="1" w:styleId="481">
    <w:name w:val="标题 2 Char1"/>
    <w:qFormat/>
    <w:uiPriority w:val="0"/>
    <w:rPr>
      <w:rFonts w:ascii="Arial" w:hAnsi="Arial" w:eastAsia="黑体" w:cs="Times New Roman"/>
      <w:b/>
      <w:bCs/>
      <w:sz w:val="32"/>
      <w:szCs w:val="32"/>
    </w:rPr>
  </w:style>
  <w:style w:type="character" w:customStyle="1" w:styleId="482">
    <w:name w:val="Char Char35"/>
    <w:qFormat/>
    <w:uiPriority w:val="0"/>
    <w:rPr>
      <w:rFonts w:ascii="Arial" w:hAnsi="Arial" w:eastAsia="黑体"/>
      <w:b/>
      <w:bCs/>
      <w:kern w:val="2"/>
      <w:sz w:val="28"/>
      <w:szCs w:val="28"/>
      <w:lang w:val="en-US" w:eastAsia="zh-CN" w:bidi="ar-SA"/>
    </w:rPr>
  </w:style>
  <w:style w:type="character" w:customStyle="1" w:styleId="483">
    <w:name w:val="2016 Char"/>
    <w:link w:val="484"/>
    <w:qFormat/>
    <w:uiPriority w:val="0"/>
    <w:rPr>
      <w:rFonts w:ascii="宋体" w:hAnsi="宋体"/>
      <w:kern w:val="2"/>
      <w:sz w:val="21"/>
      <w:szCs w:val="24"/>
    </w:rPr>
  </w:style>
  <w:style w:type="paragraph" w:customStyle="1" w:styleId="484">
    <w:name w:val="2016"/>
    <w:basedOn w:val="1"/>
    <w:link w:val="483"/>
    <w:qFormat/>
    <w:uiPriority w:val="0"/>
    <w:pPr>
      <w:jc w:val="center"/>
    </w:pPr>
    <w:rPr>
      <w:rFonts w:ascii="宋体" w:hAnsi="宋体"/>
    </w:rPr>
  </w:style>
  <w:style w:type="character" w:customStyle="1" w:styleId="485">
    <w:name w:val="样式 仿宋_GB2312 小四 行距: 固定值 16 磅 Char"/>
    <w:link w:val="486"/>
    <w:qFormat/>
    <w:uiPriority w:val="0"/>
    <w:rPr>
      <w:rFonts w:ascii="宋体" w:hAnsi="宋体"/>
      <w:color w:val="000000"/>
      <w:sz w:val="28"/>
    </w:rPr>
  </w:style>
  <w:style w:type="paragraph" w:customStyle="1" w:styleId="486">
    <w:name w:val="样式 仿宋_GB2312 小四 行距: 固定值 16 磅"/>
    <w:basedOn w:val="1"/>
    <w:link w:val="485"/>
    <w:qFormat/>
    <w:uiPriority w:val="0"/>
    <w:pPr>
      <w:tabs>
        <w:tab w:val="left" w:pos="360"/>
      </w:tabs>
      <w:spacing w:line="500" w:lineRule="exact"/>
      <w:ind w:firstLine="560" w:firstLineChars="200"/>
    </w:pPr>
    <w:rPr>
      <w:rFonts w:ascii="宋体" w:hAnsi="宋体"/>
      <w:color w:val="000000"/>
      <w:kern w:val="0"/>
      <w:sz w:val="28"/>
      <w:szCs w:val="20"/>
    </w:rPr>
  </w:style>
  <w:style w:type="character" w:customStyle="1" w:styleId="487">
    <w:name w:val="样式5 Char"/>
    <w:link w:val="488"/>
    <w:qFormat/>
    <w:locked/>
    <w:uiPriority w:val="0"/>
    <w:rPr>
      <w:rFonts w:ascii="仿宋_GB2312" w:eastAsia="仿宋_GB2312"/>
      <w:b/>
      <w:kern w:val="2"/>
      <w:sz w:val="32"/>
      <w:szCs w:val="28"/>
    </w:rPr>
  </w:style>
  <w:style w:type="paragraph" w:customStyle="1" w:styleId="488">
    <w:name w:val="样式5"/>
    <w:basedOn w:val="1"/>
    <w:link w:val="487"/>
    <w:qFormat/>
    <w:uiPriority w:val="0"/>
    <w:pPr>
      <w:adjustRightInd w:val="0"/>
      <w:snapToGrid w:val="0"/>
      <w:spacing w:before="156"/>
      <w:jc w:val="center"/>
    </w:pPr>
    <w:rPr>
      <w:rFonts w:ascii="仿宋_GB2312" w:eastAsia="仿宋_GB2312"/>
      <w:b/>
      <w:sz w:val="32"/>
      <w:szCs w:val="28"/>
    </w:rPr>
  </w:style>
  <w:style w:type="character" w:customStyle="1" w:styleId="489">
    <w:name w:val="333 Char"/>
    <w:link w:val="490"/>
    <w:qFormat/>
    <w:uiPriority w:val="0"/>
    <w:rPr>
      <w:color w:val="FF0000"/>
      <w:kern w:val="2"/>
      <w:sz w:val="24"/>
      <w:szCs w:val="24"/>
    </w:rPr>
  </w:style>
  <w:style w:type="paragraph" w:customStyle="1" w:styleId="490">
    <w:name w:val="333"/>
    <w:basedOn w:val="1"/>
    <w:link w:val="489"/>
    <w:qFormat/>
    <w:uiPriority w:val="0"/>
    <w:pPr>
      <w:spacing w:line="500" w:lineRule="exact"/>
      <w:ind w:firstLine="480" w:firstLineChars="200"/>
    </w:pPr>
    <w:rPr>
      <w:color w:val="FF0000"/>
      <w:sz w:val="24"/>
    </w:rPr>
  </w:style>
  <w:style w:type="character" w:customStyle="1" w:styleId="491">
    <w:name w:val="正文首行缩进 Char1"/>
    <w:qFormat/>
    <w:uiPriority w:val="0"/>
    <w:rPr>
      <w:szCs w:val="24"/>
    </w:rPr>
  </w:style>
  <w:style w:type="character" w:customStyle="1" w:styleId="492">
    <w:name w:val="正文文本 Char2"/>
    <w:semiHidden/>
    <w:qFormat/>
    <w:uiPriority w:val="0"/>
  </w:style>
  <w:style w:type="character" w:customStyle="1" w:styleId="493">
    <w:name w:val="文档结构图 Char1"/>
    <w:semiHidden/>
    <w:qFormat/>
    <w:uiPriority w:val="0"/>
    <w:rPr>
      <w:rFonts w:ascii="宋体" w:eastAsia="宋体"/>
      <w:sz w:val="18"/>
      <w:szCs w:val="18"/>
    </w:rPr>
  </w:style>
  <w:style w:type="character" w:customStyle="1" w:styleId="494">
    <w:name w:val="日期 Char1"/>
    <w:semiHidden/>
    <w:qFormat/>
    <w:uiPriority w:val="0"/>
  </w:style>
  <w:style w:type="character" w:customStyle="1" w:styleId="495">
    <w:name w:val="正文文本缩进 2 Char1"/>
    <w:semiHidden/>
    <w:qFormat/>
    <w:uiPriority w:val="0"/>
  </w:style>
  <w:style w:type="character" w:customStyle="1" w:styleId="496">
    <w:name w:val="正文首行缩进 Char2"/>
    <w:semiHidden/>
    <w:qFormat/>
    <w:uiPriority w:val="0"/>
  </w:style>
  <w:style w:type="character" w:customStyle="1" w:styleId="497">
    <w:name w:val="页脚 Char1"/>
    <w:semiHidden/>
    <w:qFormat/>
    <w:uiPriority w:val="0"/>
    <w:rPr>
      <w:sz w:val="18"/>
      <w:szCs w:val="18"/>
    </w:rPr>
  </w:style>
  <w:style w:type="character" w:customStyle="1" w:styleId="498">
    <w:name w:val="页眉 Char1"/>
    <w:semiHidden/>
    <w:qFormat/>
    <w:uiPriority w:val="0"/>
    <w:rPr>
      <w:sz w:val="18"/>
      <w:szCs w:val="18"/>
    </w:rPr>
  </w:style>
  <w:style w:type="paragraph" w:customStyle="1" w:styleId="499">
    <w:name w:val="xl7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00">
    <w:name w:val="Char Char2 Char Char Char Char"/>
    <w:basedOn w:val="1"/>
    <w:qFormat/>
    <w:uiPriority w:val="0"/>
    <w:pPr>
      <w:ind w:left="-48"/>
    </w:pPr>
  </w:style>
  <w:style w:type="paragraph" w:customStyle="1" w:styleId="501">
    <w:name w:val="Char Char19 Char Char"/>
    <w:basedOn w:val="1"/>
    <w:qFormat/>
    <w:uiPriority w:val="0"/>
    <w:pPr>
      <w:ind w:left="-48"/>
    </w:pPr>
  </w:style>
  <w:style w:type="paragraph" w:customStyle="1" w:styleId="502">
    <w:name w:val="Char Char2 Char Char Char Char Char Char Char Char Char Char Char Char"/>
    <w:basedOn w:val="1"/>
    <w:qFormat/>
    <w:uiPriority w:val="0"/>
    <w:pPr>
      <w:ind w:left="-48"/>
    </w:pPr>
  </w:style>
  <w:style w:type="paragraph" w:customStyle="1" w:styleId="503">
    <w:name w:val="Char Char2 Char Char Char Char Char Char Char Char Char Char Char Char Char Char Char Char Char Char"/>
    <w:basedOn w:val="1"/>
    <w:qFormat/>
    <w:uiPriority w:val="0"/>
    <w:pPr>
      <w:ind w:left="-48"/>
    </w:pPr>
  </w:style>
  <w:style w:type="paragraph" w:customStyle="1" w:styleId="504">
    <w:name w:val="Char Char2 Char Char Char Char Char Char Char Char Char Char Char Char Char Char Char Char Char Char Char Char Char Char Char Char"/>
    <w:basedOn w:val="1"/>
    <w:qFormat/>
    <w:uiPriority w:val="0"/>
    <w:pPr>
      <w:ind w:left="-48"/>
    </w:pPr>
  </w:style>
  <w:style w:type="paragraph" w:customStyle="1" w:styleId="505">
    <w:name w:val="Char Char2 Char Char Char Char Char Char Char Char Char Char Char Char Char Char Char Char"/>
    <w:basedOn w:val="1"/>
    <w:qFormat/>
    <w:uiPriority w:val="0"/>
    <w:pPr>
      <w:ind w:left="-48"/>
    </w:pPr>
  </w:style>
  <w:style w:type="paragraph" w:customStyle="1" w:styleId="506">
    <w:name w:val="样式 标题 4 + 仿宋_GB2312"/>
    <w:basedOn w:val="6"/>
    <w:qFormat/>
    <w:uiPriority w:val="0"/>
    <w:pPr>
      <w:snapToGrid/>
      <w:spacing w:before="240" w:after="240" w:line="240" w:lineRule="auto"/>
      <w:jc w:val="both"/>
    </w:pPr>
    <w:rPr>
      <w:rFonts w:hint="default" w:ascii="仿宋_GB2312" w:hAnsi="仿宋_GB2312" w:eastAsia="仿宋_GB2312"/>
    </w:rPr>
  </w:style>
  <w:style w:type="paragraph" w:customStyle="1" w:styleId="507">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08">
    <w:name w:val="Char Char Char Char Char Char"/>
    <w:basedOn w:val="1"/>
    <w:qFormat/>
    <w:uiPriority w:val="0"/>
    <w:pPr>
      <w:ind w:left="-48"/>
    </w:pPr>
  </w:style>
  <w:style w:type="paragraph" w:customStyle="1" w:styleId="50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1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3">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4">
    <w:name w:val="xl7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5">
    <w:name w:val="xl84"/>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16">
    <w:name w:val="xl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7">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18">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xl76"/>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4"/>
    </w:rPr>
  </w:style>
  <w:style w:type="paragraph" w:customStyle="1" w:styleId="520">
    <w:name w:val="xl77"/>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1">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2">
    <w:name w:val="xl8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3">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4">
    <w:name w:val="xl8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5">
    <w:name w:val="xl85"/>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6">
    <w:name w:val="xl8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27">
    <w:name w:val="xl8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8">
    <w:name w:val="xl8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9">
    <w:name w:val="xl8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30">
    <w:name w:val="Char Char2 Char Char Char Char Char Char Char Char Char Char Char Char Char Char Char Char Char Char Char Char"/>
    <w:basedOn w:val="1"/>
    <w:qFormat/>
    <w:uiPriority w:val="0"/>
    <w:pPr>
      <w:ind w:left="-48"/>
    </w:pPr>
  </w:style>
  <w:style w:type="paragraph" w:customStyle="1" w:styleId="531">
    <w:name w:val="Char Char14 Char Char Char Char Char Char Char Char"/>
    <w:basedOn w:val="1"/>
    <w:qFormat/>
    <w:uiPriority w:val="0"/>
    <w:pPr>
      <w:ind w:left="-48"/>
    </w:pPr>
  </w:style>
  <w:style w:type="paragraph" w:customStyle="1" w:styleId="532">
    <w:name w:val="reader-word-layer reader-word-s3-9"/>
    <w:basedOn w:val="1"/>
    <w:qFormat/>
    <w:uiPriority w:val="0"/>
    <w:pPr>
      <w:widowControl/>
      <w:spacing w:before="100" w:beforeAutospacing="1" w:after="100" w:afterAutospacing="1"/>
      <w:jc w:val="left"/>
    </w:pPr>
    <w:rPr>
      <w:rFonts w:ascii="宋体" w:hAnsi="宋体" w:cs="宋体"/>
      <w:kern w:val="0"/>
      <w:sz w:val="24"/>
    </w:rPr>
  </w:style>
  <w:style w:type="paragraph" w:customStyle="1" w:styleId="533">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34">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5">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536">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37">
    <w:name w:val="reader-word-layer reader-word-s1-4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3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539">
    <w:name w:val="reader-word-layer reader-word-s3-8"/>
    <w:basedOn w:val="1"/>
    <w:qFormat/>
    <w:uiPriority w:val="0"/>
    <w:pPr>
      <w:widowControl/>
      <w:spacing w:before="100" w:beforeAutospacing="1" w:after="100" w:afterAutospacing="1"/>
      <w:jc w:val="left"/>
    </w:pPr>
    <w:rPr>
      <w:rFonts w:ascii="宋体" w:hAnsi="宋体" w:cs="宋体"/>
      <w:kern w:val="0"/>
      <w:sz w:val="24"/>
    </w:rPr>
  </w:style>
  <w:style w:type="paragraph" w:customStyle="1" w:styleId="540">
    <w:name w:val="reader-word-layer reader-word-s3-10"/>
    <w:basedOn w:val="1"/>
    <w:qFormat/>
    <w:uiPriority w:val="0"/>
    <w:pPr>
      <w:widowControl/>
      <w:spacing w:before="100" w:beforeAutospacing="1" w:after="100" w:afterAutospacing="1"/>
      <w:jc w:val="left"/>
    </w:pPr>
    <w:rPr>
      <w:rFonts w:ascii="宋体" w:hAnsi="宋体" w:cs="宋体"/>
      <w:kern w:val="0"/>
      <w:sz w:val="24"/>
    </w:rPr>
  </w:style>
  <w:style w:type="paragraph" w:customStyle="1" w:styleId="541">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42">
    <w:name w:val="Char Char7 Char Char Char Char Char Char Char Char Char Char Char Char Char Char Char Char Char Char Char Char"/>
    <w:basedOn w:val="1"/>
    <w:qFormat/>
    <w:uiPriority w:val="0"/>
    <w:pPr>
      <w:ind w:left="-48"/>
    </w:pPr>
  </w:style>
  <w:style w:type="paragraph" w:customStyle="1" w:styleId="543">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44">
    <w:name w:val="one-p"/>
    <w:basedOn w:val="1"/>
    <w:qFormat/>
    <w:uiPriority w:val="0"/>
    <w:pPr>
      <w:widowControl/>
      <w:spacing w:before="100" w:beforeAutospacing="1" w:after="100" w:afterAutospacing="1" w:line="600" w:lineRule="exact"/>
      <w:ind w:firstLine="200" w:firstLineChars="200"/>
      <w:jc w:val="left"/>
    </w:pPr>
    <w:rPr>
      <w:rFonts w:ascii="宋体" w:hAnsi="宋体" w:eastAsia="仿宋_GB2312" w:cs="宋体"/>
      <w:kern w:val="0"/>
      <w:sz w:val="24"/>
      <w:szCs w:val="30"/>
    </w:rPr>
  </w:style>
  <w:style w:type="paragraph" w:customStyle="1" w:styleId="545">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546">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547">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548">
    <w:name w:val="样式 宋体 首行缩进:  2 字符 行距: 单倍行距"/>
    <w:basedOn w:val="1"/>
    <w:qFormat/>
    <w:uiPriority w:val="0"/>
    <w:pPr>
      <w:spacing w:line="600" w:lineRule="exact"/>
      <w:ind w:firstLine="420" w:firstLineChars="200"/>
    </w:pPr>
    <w:rPr>
      <w:rFonts w:ascii="宋体" w:hAnsi="宋体" w:cs="宋体"/>
      <w:color w:val="000000"/>
      <w:szCs w:val="21"/>
    </w:rPr>
  </w:style>
  <w:style w:type="paragraph" w:customStyle="1" w:styleId="549">
    <w:name w:val="标题 41"/>
    <w:basedOn w:val="1"/>
    <w:qFormat/>
    <w:uiPriority w:val="0"/>
    <w:pPr>
      <w:autoSpaceDE w:val="0"/>
      <w:autoSpaceDN w:val="0"/>
      <w:adjustRightInd w:val="0"/>
      <w:ind w:left="677"/>
      <w:jc w:val="left"/>
      <w:outlineLvl w:val="3"/>
    </w:pPr>
    <w:rPr>
      <w:rFonts w:ascii="新宋体" w:eastAsia="新宋体" w:cs="新宋体"/>
      <w:kern w:val="0"/>
      <w:sz w:val="28"/>
      <w:szCs w:val="28"/>
    </w:rPr>
  </w:style>
  <w:style w:type="paragraph" w:customStyle="1" w:styleId="550">
    <w:name w:val="Char Char7"/>
    <w:basedOn w:val="1"/>
    <w:qFormat/>
    <w:uiPriority w:val="0"/>
    <w:pPr>
      <w:ind w:left="-48"/>
    </w:pPr>
  </w:style>
  <w:style w:type="table" w:customStyle="1" w:styleId="551">
    <w:name w:val="网格型1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2">
    <w:name w:val="网格型2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3">
    <w:name w:val="网格型3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4">
    <w:name w:val="网格型7"/>
    <w:basedOn w:val="54"/>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网格型8"/>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6">
    <w:name w:val="网格型9"/>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7">
    <w:name w:val="网格型10"/>
    <w:basedOn w:val="54"/>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8">
    <w:name w:val="样式 标题 3 + 黑体 小四 非加粗 首行缩进:  0.85 厘米"/>
    <w:basedOn w:val="5"/>
    <w:qFormat/>
    <w:uiPriority w:val="0"/>
    <w:pPr>
      <w:spacing w:before="200" w:after="0" w:line="413" w:lineRule="auto"/>
      <w:ind w:firstLine="482"/>
      <w:jc w:val="left"/>
    </w:pPr>
    <w:rPr>
      <w:rFonts w:ascii="黑体" w:eastAsia="黑体" w:cs="宋体"/>
      <w:bCs w:val="0"/>
      <w:sz w:val="24"/>
      <w:szCs w:val="20"/>
    </w:rPr>
  </w:style>
  <w:style w:type="paragraph" w:customStyle="1" w:styleId="559">
    <w:name w:val="样式 标题 2 + 四号 居中"/>
    <w:basedOn w:val="4"/>
    <w:qFormat/>
    <w:uiPriority w:val="0"/>
    <w:pPr>
      <w:spacing w:before="240" w:after="240" w:line="360" w:lineRule="auto"/>
      <w:jc w:val="center"/>
    </w:pPr>
    <w:rPr>
      <w:rFonts w:ascii="Arial" w:hAnsi="Arial" w:eastAsia="黑体" w:cs="宋体"/>
      <w:sz w:val="28"/>
      <w:szCs w:val="20"/>
    </w:rPr>
  </w:style>
  <w:style w:type="character" w:customStyle="1" w:styleId="560">
    <w:name w:val="Char Char2"/>
    <w:qFormat/>
    <w:uiPriority w:val="0"/>
    <w:rPr>
      <w:rFonts w:ascii="Arial" w:hAnsi="Arial" w:eastAsia="黑体"/>
      <w:b/>
      <w:bCs/>
      <w:kern w:val="2"/>
      <w:sz w:val="32"/>
      <w:szCs w:val="32"/>
      <w:lang w:val="en-US" w:eastAsia="zh-CN" w:bidi="ar-SA"/>
    </w:rPr>
  </w:style>
  <w:style w:type="paragraph" w:customStyle="1" w:styleId="56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6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56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564">
    <w:name w:val="font2"/>
    <w:basedOn w:val="1"/>
    <w:qFormat/>
    <w:uiPriority w:val="0"/>
    <w:pPr>
      <w:widowControl/>
      <w:spacing w:before="100" w:beforeAutospacing="1" w:after="100" w:afterAutospacing="1"/>
      <w:jc w:val="left"/>
    </w:pPr>
    <w:rPr>
      <w:rFonts w:ascii="仿宋" w:hAnsi="仿宋" w:eastAsia="仿宋" w:cs="宋体"/>
      <w:color w:val="000000"/>
      <w:kern w:val="0"/>
      <w:sz w:val="22"/>
      <w:szCs w:val="22"/>
    </w:rPr>
  </w:style>
  <w:style w:type="paragraph" w:customStyle="1" w:styleId="565">
    <w:name w:val="font3"/>
    <w:basedOn w:val="1"/>
    <w:qFormat/>
    <w:uiPriority w:val="0"/>
    <w:pPr>
      <w:widowControl/>
      <w:spacing w:before="100" w:beforeAutospacing="1" w:after="100" w:afterAutospacing="1"/>
      <w:jc w:val="left"/>
    </w:pPr>
    <w:rPr>
      <w:rFonts w:ascii="仿宋" w:hAnsi="仿宋" w:eastAsia="仿宋" w:cs="宋体"/>
      <w:color w:val="000000"/>
      <w:kern w:val="0"/>
      <w:szCs w:val="21"/>
    </w:rPr>
  </w:style>
  <w:style w:type="paragraph" w:customStyle="1" w:styleId="566">
    <w:name w:val="font4"/>
    <w:basedOn w:val="1"/>
    <w:qFormat/>
    <w:uiPriority w:val="0"/>
    <w:pPr>
      <w:widowControl/>
      <w:spacing w:before="100" w:beforeAutospacing="1" w:after="100" w:afterAutospacing="1"/>
      <w:jc w:val="left"/>
    </w:pPr>
    <w:rPr>
      <w:rFonts w:ascii="仿宋" w:hAnsi="仿宋" w:eastAsia="仿宋" w:cs="宋体"/>
      <w:color w:val="000000"/>
      <w:kern w:val="0"/>
      <w:sz w:val="22"/>
      <w:szCs w:val="22"/>
    </w:rPr>
  </w:style>
  <w:style w:type="paragraph" w:customStyle="1" w:styleId="567">
    <w:name w:val="et4"/>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68">
    <w:name w:val="et5"/>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69">
    <w:name w:val="et6"/>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0">
    <w:name w:val="et7"/>
    <w:basedOn w:val="1"/>
    <w:qFormat/>
    <w:uiPriority w:val="0"/>
    <w:pPr>
      <w:widowControl/>
      <w:pBdr>
        <w:top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1">
    <w:name w:val="et8"/>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2">
    <w:name w:val="et9"/>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3">
    <w:name w:val="et10"/>
    <w:basedOn w:val="1"/>
    <w:qFormat/>
    <w:uiPriority w:val="0"/>
    <w:pPr>
      <w:widowControl/>
      <w:pBdr>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4">
    <w:name w:val="et11"/>
    <w:basedOn w:val="1"/>
    <w:qFormat/>
    <w:uiPriority w:val="0"/>
    <w:pPr>
      <w:widowControl/>
      <w:pBdr>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5">
    <w:name w:val="et12"/>
    <w:basedOn w:val="1"/>
    <w:qFormat/>
    <w:uiPriority w:val="0"/>
    <w:pPr>
      <w:widowControl/>
      <w:pBdr>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6">
    <w:name w:val="et13"/>
    <w:basedOn w:val="1"/>
    <w:qFormat/>
    <w:uiPriority w:val="0"/>
    <w:pPr>
      <w:widowControl/>
      <w:pBdr>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7">
    <w:name w:val="et14"/>
    <w:basedOn w:val="1"/>
    <w:qFormat/>
    <w:uiPriority w:val="0"/>
    <w:pPr>
      <w:widowControl/>
      <w:pBdr>
        <w:right w:val="single" w:color="000000" w:sz="8" w:space="0"/>
      </w:pBdr>
      <w:spacing w:before="100" w:beforeAutospacing="1" w:after="100" w:afterAutospacing="1"/>
      <w:jc w:val="left"/>
    </w:pPr>
    <w:rPr>
      <w:rFonts w:ascii="宋体" w:hAnsi="宋体" w:cs="宋体"/>
      <w:kern w:val="0"/>
      <w:sz w:val="24"/>
    </w:rPr>
  </w:style>
  <w:style w:type="paragraph" w:customStyle="1" w:styleId="578">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Cs w:val="21"/>
    </w:rPr>
  </w:style>
  <w:style w:type="paragraph" w:customStyle="1" w:styleId="579">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Cs w:val="21"/>
    </w:rPr>
  </w:style>
  <w:style w:type="paragraph" w:customStyle="1" w:styleId="580">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4"/>
    </w:rPr>
  </w:style>
  <w:style w:type="paragraph" w:customStyle="1" w:styleId="581">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0"/>
      <w:szCs w:val="20"/>
    </w:rPr>
  </w:style>
  <w:style w:type="paragraph" w:customStyle="1" w:styleId="582">
    <w:name w:val="et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szCs w:val="20"/>
    </w:rPr>
  </w:style>
  <w:style w:type="paragraph" w:customStyle="1" w:styleId="583">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szCs w:val="20"/>
    </w:rPr>
  </w:style>
  <w:style w:type="paragraph" w:customStyle="1" w:styleId="584">
    <w:name w:val="et21"/>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 w:val="20"/>
      <w:szCs w:val="20"/>
    </w:rPr>
  </w:style>
  <w:style w:type="paragraph" w:customStyle="1" w:styleId="585">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586">
    <w:name w:val="et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587">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Cs w:val="21"/>
    </w:rPr>
  </w:style>
  <w:style w:type="paragraph" w:customStyle="1" w:styleId="588">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4"/>
    </w:rPr>
  </w:style>
  <w:style w:type="paragraph" w:customStyle="1" w:styleId="589">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0"/>
      <w:szCs w:val="20"/>
    </w:rPr>
  </w:style>
  <w:style w:type="paragraph" w:customStyle="1" w:styleId="590">
    <w:name w:val="et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szCs w:val="20"/>
    </w:rPr>
  </w:style>
  <w:style w:type="paragraph" w:customStyle="1" w:styleId="591">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4"/>
    </w:rPr>
  </w:style>
  <w:style w:type="paragraph" w:customStyle="1" w:styleId="592">
    <w:name w:val="et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4"/>
    </w:rPr>
  </w:style>
  <w:style w:type="paragraph" w:customStyle="1" w:styleId="593">
    <w:name w:val="et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color w:val="000000"/>
      <w:kern w:val="0"/>
      <w:sz w:val="24"/>
    </w:rPr>
  </w:style>
  <w:style w:type="paragraph" w:customStyle="1" w:styleId="594">
    <w:name w:val="et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color w:val="000000"/>
      <w:kern w:val="0"/>
      <w:sz w:val="24"/>
    </w:rPr>
  </w:style>
  <w:style w:type="paragraph" w:customStyle="1" w:styleId="595">
    <w:name w:val="et3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96">
    <w:name w:val="et34"/>
    <w:basedOn w:val="1"/>
    <w:qFormat/>
    <w:uiPriority w:val="0"/>
    <w:pPr>
      <w:widowControl/>
      <w:pBdr>
        <w:bottom w:val="single" w:color="000000" w:sz="8" w:space="0"/>
        <w:right w:val="single" w:color="000000" w:sz="8" w:space="0"/>
      </w:pBdr>
      <w:spacing w:before="100" w:beforeAutospacing="1" w:after="100" w:afterAutospacing="1"/>
      <w:jc w:val="center"/>
      <w:textAlignment w:val="bottom"/>
    </w:pPr>
    <w:rPr>
      <w:rFonts w:ascii="仿宋" w:hAnsi="仿宋" w:eastAsia="仿宋" w:cs="宋体"/>
      <w:kern w:val="0"/>
      <w:sz w:val="20"/>
      <w:szCs w:val="20"/>
    </w:rPr>
  </w:style>
  <w:style w:type="paragraph" w:customStyle="1" w:styleId="597">
    <w:name w:val="et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Cs w:val="21"/>
    </w:rPr>
  </w:style>
  <w:style w:type="paragraph" w:customStyle="1" w:styleId="598">
    <w:name w:val="et36"/>
    <w:basedOn w:val="1"/>
    <w:qFormat/>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99">
    <w:name w:val="et37"/>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0">
    <w:name w:val="et38"/>
    <w:basedOn w:val="1"/>
    <w:qFormat/>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1">
    <w:name w:val="et39"/>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2">
    <w:name w:val="et40"/>
    <w:basedOn w:val="1"/>
    <w:qFormat/>
    <w:uiPriority w:val="0"/>
    <w:pPr>
      <w:widowControl/>
      <w:pBdr>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3">
    <w:name w:val="et41"/>
    <w:basedOn w:val="1"/>
    <w:qFormat/>
    <w:uiPriority w:val="0"/>
    <w:pPr>
      <w:widowControl/>
      <w:pBdr>
        <w:left w:val="single" w:color="000000" w:sz="8" w:space="0"/>
        <w:bottom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4">
    <w:name w:val="et42"/>
    <w:basedOn w:val="1"/>
    <w:qFormat/>
    <w:uiPriority w:val="0"/>
    <w:pPr>
      <w:widowControl/>
      <w:pBdr>
        <w:bottom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5">
    <w:name w:val="et43"/>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6">
    <w:name w:val="et44"/>
    <w:basedOn w:val="1"/>
    <w:qFormat/>
    <w:uiPriority w:val="0"/>
    <w:pPr>
      <w:widowControl/>
      <w:pBdr>
        <w:right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7">
    <w:name w:val="et45"/>
    <w:basedOn w:val="1"/>
    <w:qFormat/>
    <w:uiPriority w:val="0"/>
    <w:pPr>
      <w:widowControl/>
      <w:pBdr>
        <w:top w:val="double" w:color="000000" w:sz="6" w:space="0"/>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8">
    <w:name w:val="et46"/>
    <w:basedOn w:val="1"/>
    <w:qFormat/>
    <w:uiPriority w:val="0"/>
    <w:pPr>
      <w:widowControl/>
      <w:pBdr>
        <w:left w:val="single" w:color="000000" w:sz="8" w:space="0"/>
        <w:bottom w:val="single" w:color="000000" w:sz="8" w:space="0"/>
      </w:pBdr>
      <w:spacing w:before="100" w:beforeAutospacing="1" w:after="100" w:afterAutospacing="1"/>
      <w:jc w:val="left"/>
    </w:pPr>
    <w:rPr>
      <w:rFonts w:ascii="宋体" w:hAnsi="宋体" w:cs="宋体"/>
      <w:kern w:val="0"/>
      <w:sz w:val="24"/>
    </w:rPr>
  </w:style>
  <w:style w:type="paragraph" w:customStyle="1" w:styleId="609">
    <w:name w:val="et47"/>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textAlignment w:val="top"/>
    </w:pPr>
    <w:rPr>
      <w:rFonts w:ascii="仿宋_GB2312" w:hAnsi="宋体" w:eastAsia="仿宋_GB2312" w:cs="宋体"/>
      <w:kern w:val="0"/>
      <w:szCs w:val="21"/>
    </w:rPr>
  </w:style>
  <w:style w:type="paragraph" w:customStyle="1" w:styleId="610">
    <w:name w:val="et48"/>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11">
    <w:name w:val="et49"/>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 w:val="20"/>
      <w:szCs w:val="20"/>
    </w:rPr>
  </w:style>
  <w:style w:type="paragraph" w:customStyle="1" w:styleId="612">
    <w:name w:val="et51"/>
    <w:basedOn w:val="1"/>
    <w:qFormat/>
    <w:uiPriority w:val="0"/>
    <w:pPr>
      <w:widowControl/>
      <w:pBdr>
        <w:bottom w:val="single" w:color="000000" w:sz="8" w:space="0"/>
      </w:pBdr>
      <w:spacing w:before="100" w:beforeAutospacing="1" w:after="100" w:afterAutospacing="1"/>
      <w:jc w:val="center"/>
    </w:pPr>
    <w:rPr>
      <w:rFonts w:ascii="仿宋" w:hAnsi="仿宋" w:eastAsia="仿宋" w:cs="宋体"/>
      <w:kern w:val="0"/>
      <w:sz w:val="20"/>
      <w:szCs w:val="20"/>
    </w:rPr>
  </w:style>
  <w:style w:type="paragraph" w:customStyle="1" w:styleId="613">
    <w:name w:val="et52"/>
    <w:basedOn w:val="1"/>
    <w:qFormat/>
    <w:uiPriority w:val="0"/>
    <w:pPr>
      <w:widowControl/>
      <w:pBdr>
        <w:bottom w:val="single" w:color="000000" w:sz="8" w:space="0"/>
        <w:right w:val="single" w:color="000000" w:sz="8" w:space="0"/>
      </w:pBdr>
      <w:spacing w:before="100" w:beforeAutospacing="1" w:after="100" w:afterAutospacing="1"/>
      <w:jc w:val="center"/>
      <w:textAlignment w:val="bottom"/>
    </w:pPr>
    <w:rPr>
      <w:rFonts w:ascii="仿宋" w:hAnsi="仿宋" w:eastAsia="仿宋" w:cs="宋体"/>
      <w:kern w:val="0"/>
      <w:szCs w:val="21"/>
    </w:rPr>
  </w:style>
  <w:style w:type="paragraph" w:customStyle="1" w:styleId="614">
    <w:name w:val="et5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15">
    <w:name w:val="source-from"/>
    <w:basedOn w:val="1"/>
    <w:qFormat/>
    <w:uiPriority w:val="0"/>
    <w:pPr>
      <w:widowControl/>
      <w:spacing w:before="100" w:beforeAutospacing="1" w:after="100" w:afterAutospacing="1"/>
      <w:jc w:val="left"/>
    </w:pPr>
    <w:rPr>
      <w:rFonts w:ascii="宋体" w:hAnsi="宋体" w:cs="宋体"/>
      <w:kern w:val="0"/>
      <w:sz w:val="24"/>
    </w:rPr>
  </w:style>
  <w:style w:type="table" w:customStyle="1" w:styleId="616">
    <w:name w:val="网格型12"/>
    <w:qFormat/>
    <w:uiPriority w:val="0"/>
    <w:tblPr>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0" w:type="dxa"/>
        <w:left w:w="108" w:type="dxa"/>
        <w:bottom w:w="0" w:type="dxa"/>
        <w:right w:w="108" w:type="dxa"/>
      </w:tblCellMar>
    </w:tblPr>
  </w:style>
  <w:style w:type="paragraph" w:customStyle="1" w:styleId="617">
    <w:name w:val="正文 New New New New"/>
    <w:qFormat/>
    <w:uiPriority w:val="0"/>
    <w:pPr>
      <w:widowControl w:val="0"/>
      <w:spacing w:line="460" w:lineRule="exact"/>
      <w:jc w:val="both"/>
    </w:pPr>
    <w:rPr>
      <w:rFonts w:ascii="Times New Roman" w:hAnsi="Times New Roman" w:eastAsia="宋体" w:cs="Times New Roman"/>
      <w:kern w:val="2"/>
      <w:sz w:val="24"/>
      <w:szCs w:val="24"/>
      <w:lang w:val="en-US" w:eastAsia="zh-CN" w:bidi="ar-SA"/>
    </w:rPr>
  </w:style>
  <w:style w:type="paragraph" w:customStyle="1" w:styleId="618">
    <w:name w:val="样式 (西文) 宋体 小四 首行缩进:  2 字符"/>
    <w:basedOn w:val="1"/>
    <w:qFormat/>
    <w:uiPriority w:val="0"/>
    <w:pPr>
      <w:jc w:val="center"/>
    </w:pPr>
    <w:rPr>
      <w:rFonts w:ascii="宋体" w:hAnsi="宋体" w:cs="宋体"/>
      <w:b/>
      <w:color w:val="000000"/>
      <w:sz w:val="32"/>
      <w:szCs w:val="32"/>
    </w:rPr>
  </w:style>
  <w:style w:type="paragraph" w:customStyle="1" w:styleId="619">
    <w:name w:val="样式 段 + 首行缩进:  2 字符"/>
    <w:basedOn w:val="144"/>
    <w:qFormat/>
    <w:uiPriority w:val="0"/>
    <w:pPr>
      <w:widowControl/>
      <w:autoSpaceDE w:val="0"/>
      <w:autoSpaceDN w:val="0"/>
      <w:ind w:firstLine="200" w:firstLineChars="200"/>
    </w:pPr>
    <w:rPr>
      <w:rFonts w:cs="宋体"/>
      <w:sz w:val="21"/>
      <w:szCs w:val="21"/>
    </w:rPr>
  </w:style>
  <w:style w:type="paragraph" w:customStyle="1" w:styleId="620">
    <w:name w:val="Char4"/>
    <w:basedOn w:val="1"/>
    <w:qFormat/>
    <w:uiPriority w:val="0"/>
    <w:pPr>
      <w:ind w:left="-48"/>
    </w:pPr>
  </w:style>
  <w:style w:type="character" w:customStyle="1" w:styleId="621">
    <w:name w:val="css-text3"/>
    <w:qFormat/>
    <w:uiPriority w:val="0"/>
  </w:style>
  <w:style w:type="paragraph" w:customStyle="1" w:styleId="622">
    <w:name w:val="cx正文"/>
    <w:basedOn w:val="1"/>
    <w:link w:val="623"/>
    <w:qFormat/>
    <w:uiPriority w:val="0"/>
    <w:pPr>
      <w:widowControl/>
      <w:spacing w:line="360" w:lineRule="auto"/>
      <w:ind w:firstLine="200" w:firstLineChars="200"/>
    </w:pPr>
    <w:rPr>
      <w:rFonts w:ascii="仿宋" w:hAnsi="仿宋" w:eastAsia="仿宋"/>
      <w:sz w:val="28"/>
    </w:rPr>
  </w:style>
  <w:style w:type="character" w:customStyle="1" w:styleId="623">
    <w:name w:val="cx正文 字符"/>
    <w:link w:val="622"/>
    <w:qFormat/>
    <w:uiPriority w:val="0"/>
    <w:rPr>
      <w:rFonts w:ascii="仿宋" w:hAnsi="仿宋" w:eastAsia="仿宋"/>
      <w:kern w:val="2"/>
      <w:sz w:val="28"/>
      <w:szCs w:val="24"/>
    </w:rPr>
  </w:style>
  <w:style w:type="character" w:customStyle="1" w:styleId="624">
    <w:name w:val="水岸华府样式 四号 黑色 行距: 1.5 倍行距 Char"/>
    <w:link w:val="625"/>
    <w:qFormat/>
    <w:uiPriority w:val="0"/>
    <w:rPr>
      <w:rFonts w:cs="宋体"/>
      <w:color w:val="000000"/>
      <w:kern w:val="2"/>
      <w:sz w:val="28"/>
    </w:rPr>
  </w:style>
  <w:style w:type="paragraph" w:customStyle="1" w:styleId="625">
    <w:name w:val="水岸华府样式 四号 黑色 行距: 1.5 倍行距"/>
    <w:basedOn w:val="1"/>
    <w:link w:val="624"/>
    <w:qFormat/>
    <w:uiPriority w:val="0"/>
    <w:pPr>
      <w:spacing w:line="360" w:lineRule="auto"/>
      <w:ind w:firstLine="560" w:firstLineChars="200"/>
    </w:pPr>
    <w:rPr>
      <w:rFonts w:cs="宋体"/>
      <w:color w:val="000000"/>
      <w:sz w:val="28"/>
      <w:szCs w:val="20"/>
    </w:rPr>
  </w:style>
  <w:style w:type="paragraph" w:customStyle="1" w:styleId="626">
    <w:name w:val="Char5"/>
    <w:basedOn w:val="1"/>
    <w:qFormat/>
    <w:uiPriority w:val="0"/>
    <w:pPr>
      <w:ind w:left="-48"/>
    </w:pPr>
  </w:style>
  <w:style w:type="paragraph" w:customStyle="1" w:styleId="627">
    <w:name w:val="修订2"/>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7.wmf"/><Relationship Id="rId26" Type="http://schemas.openxmlformats.org/officeDocument/2006/relationships/oleObject" Target="embeddings/oleObject2.bin"/><Relationship Id="rId25" Type="http://schemas.openxmlformats.org/officeDocument/2006/relationships/image" Target="media/image6.w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113</Pages>
  <Words>7439</Words>
  <Characters>42406</Characters>
  <Lines>353</Lines>
  <Paragraphs>99</Paragraphs>
  <TotalTime>3</TotalTime>
  <ScaleCrop>false</ScaleCrop>
  <LinksUpToDate>false</LinksUpToDate>
  <CharactersWithSpaces>49746</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2025-01-22T08:43:00Z</dcterms:created>
  <dc:creator>LnsyLiuxiwei</dc:creator>
  <cp:lastModifiedBy>user</cp:lastModifiedBy>
  <cp:lastPrinted>2025-01-24T21:17:00Z</cp:lastPrinted>
  <dcterms:modified xsi:type="dcterms:W3CDTF">2025-01-26T18:01:56Z</dcterms:modified>
  <dc:title>1、  前  言</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C31C25484AAB4C3AA785BD6EF933376A_12</vt:lpwstr>
  </property>
</Properties>
</file>